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38" w:rsidRPr="00D703BC" w:rsidRDefault="00356138" w:rsidP="00C93C62">
      <w:pPr>
        <w:spacing w:after="0"/>
        <w:jc w:val="center"/>
        <w:rPr>
          <w:rFonts w:ascii="Arial" w:hAnsi="Arial" w:cs="Arial"/>
          <w:b/>
          <w:sz w:val="24"/>
        </w:rPr>
      </w:pPr>
      <w:r w:rsidRPr="00D703BC">
        <w:rPr>
          <w:rFonts w:ascii="Arial" w:hAnsi="Arial" w:cs="Arial"/>
          <w:b/>
          <w:sz w:val="24"/>
        </w:rPr>
        <w:t>Inglewood CRC</w:t>
      </w:r>
    </w:p>
    <w:p w:rsidR="00C93C62" w:rsidRDefault="00D703BC" w:rsidP="00C93C62">
      <w:pPr>
        <w:spacing w:after="0"/>
        <w:jc w:val="center"/>
      </w:pPr>
      <w:r>
        <w:t>Position D</w:t>
      </w:r>
      <w:r w:rsidR="003722C8">
        <w:t>escription</w:t>
      </w:r>
    </w:p>
    <w:p w:rsidR="003722C8" w:rsidRPr="007B1F75" w:rsidRDefault="003722C8" w:rsidP="00C93C62">
      <w:pPr>
        <w:spacing w:after="0"/>
        <w:jc w:val="center"/>
        <w:rPr>
          <w:b/>
          <w:sz w:val="24"/>
        </w:rPr>
      </w:pPr>
      <w:bookmarkStart w:id="0" w:name="_GoBack"/>
      <w:r w:rsidRPr="007B1F75">
        <w:rPr>
          <w:b/>
          <w:sz w:val="24"/>
        </w:rPr>
        <w:t>Director of Youth and Intergenerational Ministry</w:t>
      </w:r>
      <w:r w:rsidR="0025248B" w:rsidRPr="007B1F75">
        <w:rPr>
          <w:b/>
          <w:sz w:val="24"/>
        </w:rPr>
        <w:t xml:space="preserve"> (</w:t>
      </w:r>
      <w:r w:rsidR="009B7238" w:rsidRPr="007B1F75">
        <w:rPr>
          <w:b/>
          <w:sz w:val="24"/>
        </w:rPr>
        <w:t>DOYIM)</w:t>
      </w:r>
    </w:p>
    <w:bookmarkEnd w:id="0"/>
    <w:p w:rsidR="00EA3EB7" w:rsidRDefault="00EA3EB7" w:rsidP="00C93C62">
      <w:pPr>
        <w:spacing w:after="0"/>
        <w:jc w:val="center"/>
      </w:pPr>
      <w:r>
        <w:t>March, 2015</w:t>
      </w:r>
    </w:p>
    <w:p w:rsidR="00C93C62" w:rsidRDefault="00C93C62" w:rsidP="00C93C62">
      <w:pPr>
        <w:spacing w:after="0"/>
        <w:jc w:val="center"/>
      </w:pPr>
    </w:p>
    <w:p w:rsidR="003722C8" w:rsidRPr="00D703BC" w:rsidRDefault="003722C8">
      <w:pPr>
        <w:rPr>
          <w:b/>
          <w:u w:val="single"/>
        </w:rPr>
      </w:pPr>
      <w:r w:rsidRPr="00D703BC">
        <w:rPr>
          <w:b/>
          <w:u w:val="single"/>
        </w:rPr>
        <w:t>General description</w:t>
      </w:r>
    </w:p>
    <w:p w:rsidR="003722C8" w:rsidRDefault="003722C8" w:rsidP="00D03E9B">
      <w:pPr>
        <w:spacing w:after="120" w:line="240" w:lineRule="auto"/>
      </w:pPr>
      <w:r>
        <w:t xml:space="preserve">The </w:t>
      </w:r>
      <w:r w:rsidR="009B7238">
        <w:t>DOYIM</w:t>
      </w:r>
      <w:r>
        <w:t xml:space="preserve"> will minister to ICRC’s young people in Junior </w:t>
      </w:r>
      <w:r w:rsidR="005E4797">
        <w:t>and Senior</w:t>
      </w:r>
      <w:r>
        <w:t xml:space="preserve"> High School, and </w:t>
      </w:r>
      <w:r w:rsidR="00554733">
        <w:t>in</w:t>
      </w:r>
      <w:r w:rsidR="00BE3018">
        <w:t xml:space="preserve"> transition to </w:t>
      </w:r>
      <w:r>
        <w:t>College/</w:t>
      </w:r>
      <w:r w:rsidR="00BE3018">
        <w:t>U</w:t>
      </w:r>
      <w:r>
        <w:t xml:space="preserve">niversity, with respect to </w:t>
      </w:r>
      <w:r w:rsidR="00554733">
        <w:t xml:space="preserve">their </w:t>
      </w:r>
      <w:r>
        <w:t xml:space="preserve">personal and spiritual development, </w:t>
      </w:r>
      <w:r w:rsidR="00554733">
        <w:t xml:space="preserve">in </w:t>
      </w:r>
      <w:r>
        <w:t>relationships with family and friends,</w:t>
      </w:r>
      <w:r w:rsidR="00554733">
        <w:t xml:space="preserve"> in their</w:t>
      </w:r>
      <w:r>
        <w:t xml:space="preserve"> </w:t>
      </w:r>
      <w:r w:rsidR="00554733">
        <w:t xml:space="preserve">vocational and </w:t>
      </w:r>
      <w:r>
        <w:t>career planning</w:t>
      </w:r>
      <w:r w:rsidR="00E634E4">
        <w:t>, and</w:t>
      </w:r>
      <w:r w:rsidR="00554733">
        <w:t xml:space="preserve"> in</w:t>
      </w:r>
      <w:r w:rsidR="00E634E4">
        <w:t xml:space="preserve"> other engagements and services to which </w:t>
      </w:r>
      <w:r w:rsidR="00554733">
        <w:t xml:space="preserve">they </w:t>
      </w:r>
      <w:r w:rsidR="00E634E4">
        <w:t>aspire.</w:t>
      </w:r>
      <w:r>
        <w:t xml:space="preserve"> Details are listed under five headings below.</w:t>
      </w:r>
    </w:p>
    <w:p w:rsidR="003722C8" w:rsidRDefault="003722C8" w:rsidP="0056024C">
      <w:pPr>
        <w:spacing w:after="120" w:line="240" w:lineRule="auto"/>
        <w:ind w:left="720"/>
      </w:pPr>
      <w:r>
        <w:t>1. Relationships</w:t>
      </w:r>
      <w:r w:rsidR="009C7DB4">
        <w:t xml:space="preserve"> with youth, parents and other adults</w:t>
      </w:r>
    </w:p>
    <w:p w:rsidR="003722C8" w:rsidRDefault="003722C8" w:rsidP="0056024C">
      <w:pPr>
        <w:spacing w:after="120" w:line="240" w:lineRule="auto"/>
        <w:ind w:left="720"/>
      </w:pPr>
      <w:r>
        <w:t xml:space="preserve">2. Coordination of </w:t>
      </w:r>
      <w:r w:rsidR="00BE3018">
        <w:t xml:space="preserve">youth </w:t>
      </w:r>
      <w:r>
        <w:t>programs, events</w:t>
      </w:r>
      <w:r w:rsidR="00BE3018">
        <w:t>,</w:t>
      </w:r>
      <w:r>
        <w:t xml:space="preserve"> and ministries</w:t>
      </w:r>
    </w:p>
    <w:p w:rsidR="003722C8" w:rsidRDefault="003722C8" w:rsidP="0056024C">
      <w:pPr>
        <w:spacing w:after="120" w:line="240" w:lineRule="auto"/>
        <w:ind w:left="720"/>
      </w:pPr>
      <w:r>
        <w:t>3. Development</w:t>
      </w:r>
      <w:r w:rsidR="00E634E4">
        <w:t xml:space="preserve"> of Youth and Intergenerational Ministry programs</w:t>
      </w:r>
    </w:p>
    <w:p w:rsidR="003722C8" w:rsidRDefault="003722C8" w:rsidP="0056024C">
      <w:pPr>
        <w:spacing w:after="120" w:line="240" w:lineRule="auto"/>
        <w:ind w:left="720"/>
      </w:pPr>
      <w:r>
        <w:t>4. Specific tasks</w:t>
      </w:r>
      <w:r w:rsidR="00E634E4">
        <w:t xml:space="preserve"> conducted on a weekly or regular basis</w:t>
      </w:r>
    </w:p>
    <w:p w:rsidR="003722C8" w:rsidRDefault="003722C8" w:rsidP="0056024C">
      <w:pPr>
        <w:spacing w:after="120" w:line="240" w:lineRule="auto"/>
        <w:ind w:left="720"/>
      </w:pPr>
      <w:r>
        <w:t xml:space="preserve">5. </w:t>
      </w:r>
      <w:r w:rsidR="00C96DB0">
        <w:t xml:space="preserve">Regular Meetings and </w:t>
      </w:r>
      <w:r>
        <w:t>Reporting</w:t>
      </w:r>
    </w:p>
    <w:p w:rsidR="003722C8" w:rsidRPr="006C6E35" w:rsidRDefault="003722C8" w:rsidP="00D03E9B">
      <w:pPr>
        <w:spacing w:after="120" w:line="240" w:lineRule="auto"/>
        <w:rPr>
          <w:b/>
        </w:rPr>
      </w:pPr>
      <w:r w:rsidRPr="006C6E35">
        <w:rPr>
          <w:b/>
        </w:rPr>
        <w:t>1. Relationships</w:t>
      </w:r>
      <w:r w:rsidR="00554733">
        <w:rPr>
          <w:b/>
        </w:rPr>
        <w:t xml:space="preserve"> with youth, parents and other adults</w:t>
      </w:r>
      <w:r w:rsidRPr="006C6E35">
        <w:rPr>
          <w:b/>
        </w:rPr>
        <w:t xml:space="preserve"> </w:t>
      </w:r>
      <w:r w:rsidR="00554733">
        <w:rPr>
          <w:b/>
        </w:rPr>
        <w:t>–</w:t>
      </w:r>
      <w:r w:rsidRPr="00FF1899">
        <w:t xml:space="preserve"> </w:t>
      </w:r>
      <w:r w:rsidR="00FF1899">
        <w:t>T</w:t>
      </w:r>
      <w:r w:rsidR="00554733" w:rsidRPr="00FF1899">
        <w:t>o</w:t>
      </w:r>
      <w:r w:rsidR="00554733">
        <w:rPr>
          <w:b/>
        </w:rPr>
        <w:t xml:space="preserve"> </w:t>
      </w:r>
      <w:r w:rsidRPr="00554733">
        <w:t>develop respectful relationship</w:t>
      </w:r>
      <w:r w:rsidR="002A06C3" w:rsidRPr="00554733">
        <w:t>s</w:t>
      </w:r>
      <w:r w:rsidRPr="00554733">
        <w:t xml:space="preserve"> with young people, their parents</w:t>
      </w:r>
      <w:r w:rsidR="00554733">
        <w:t>, families,</w:t>
      </w:r>
      <w:r w:rsidRPr="00554733">
        <w:t xml:space="preserve"> </w:t>
      </w:r>
      <w:r w:rsidR="00C96DB0">
        <w:t xml:space="preserve">and </w:t>
      </w:r>
      <w:r w:rsidRPr="00554733">
        <w:t>friends, in providing individual and group support.</w:t>
      </w:r>
    </w:p>
    <w:p w:rsidR="0025248B" w:rsidRDefault="0025248B" w:rsidP="00D03E9B">
      <w:pPr>
        <w:spacing w:after="120" w:line="240" w:lineRule="auto"/>
      </w:pPr>
      <w:r>
        <w:t xml:space="preserve">In line with ICRC’s intent to be an intergenerational church, the </w:t>
      </w:r>
      <w:r w:rsidR="009B7238">
        <w:t>DOYIM</w:t>
      </w:r>
      <w:r>
        <w:t xml:space="preserve"> </w:t>
      </w:r>
      <w:r w:rsidR="00BE3018">
        <w:t>is expected to</w:t>
      </w:r>
      <w:r>
        <w:t xml:space="preserve"> assist youth</w:t>
      </w:r>
      <w:r w:rsidR="00554733">
        <w:t>, their parents</w:t>
      </w:r>
      <w:r>
        <w:t xml:space="preserve"> and</w:t>
      </w:r>
      <w:r w:rsidR="00554733">
        <w:t xml:space="preserve"> other</w:t>
      </w:r>
      <w:r>
        <w:t xml:space="preserve"> adults in developing an environment offering opportunities for </w:t>
      </w:r>
      <w:r w:rsidR="00C96DB0">
        <w:t>youth and adults</w:t>
      </w:r>
      <w:r>
        <w:t xml:space="preserve"> to </w:t>
      </w:r>
      <w:r w:rsidR="006C6E35">
        <w:t>establish</w:t>
      </w:r>
      <w:r>
        <w:t xml:space="preserve"> meaningful and respectful relationships of mutual support and recognition</w:t>
      </w:r>
      <w:r w:rsidR="00C96DB0">
        <w:t xml:space="preserve"> in their personal and spiritual growth</w:t>
      </w:r>
      <w:r>
        <w:t>.</w:t>
      </w:r>
    </w:p>
    <w:p w:rsidR="00356138" w:rsidRPr="006C6E35" w:rsidRDefault="002E1733" w:rsidP="00D03E9B">
      <w:pPr>
        <w:spacing w:after="120" w:line="240" w:lineRule="auto"/>
        <w:rPr>
          <w:i/>
        </w:rPr>
      </w:pPr>
      <w:r>
        <w:t xml:space="preserve">Recruiting appropriate adults </w:t>
      </w:r>
      <w:r w:rsidR="00E634E4">
        <w:t>who</w:t>
      </w:r>
      <w:r>
        <w:t xml:space="preserve"> are prepared to connect with youth in </w:t>
      </w:r>
      <w:r w:rsidR="00356138">
        <w:t>serving as</w:t>
      </w:r>
      <w:r>
        <w:t xml:space="preserve"> (i) mentor</w:t>
      </w:r>
      <w:r w:rsidR="00BE3018">
        <w:t>s</w:t>
      </w:r>
      <w:r>
        <w:t>, (ii) small group leader</w:t>
      </w:r>
      <w:r w:rsidR="00BE3018">
        <w:t>s</w:t>
      </w:r>
      <w:r>
        <w:t>, (iii) prayer partner</w:t>
      </w:r>
      <w:r w:rsidR="00BE3018">
        <w:t>s</w:t>
      </w:r>
      <w:r w:rsidR="00E634E4">
        <w:t xml:space="preserve">, and </w:t>
      </w:r>
      <w:r w:rsidR="006463B9">
        <w:t>(iv.) program</w:t>
      </w:r>
      <w:r>
        <w:t xml:space="preserve"> </w:t>
      </w:r>
      <w:r w:rsidR="006463B9">
        <w:t xml:space="preserve">planners </w:t>
      </w:r>
      <w:r>
        <w:t>with a view towards developing a culture that is open, accepting, and encourag</w:t>
      </w:r>
      <w:r w:rsidR="00356138">
        <w:t>ing of dependable relationship</w:t>
      </w:r>
      <w:r w:rsidR="00BE3018">
        <w:t>s</w:t>
      </w:r>
      <w:r w:rsidR="00356138">
        <w:t xml:space="preserve">. It is </w:t>
      </w:r>
      <w:r w:rsidR="00C96DB0">
        <w:t>expected</w:t>
      </w:r>
      <w:r w:rsidR="00356138">
        <w:t xml:space="preserve"> that Junior and Senior </w:t>
      </w:r>
      <w:r w:rsidR="00BE3018">
        <w:t>H</w:t>
      </w:r>
      <w:r w:rsidR="00356138">
        <w:t xml:space="preserve">igh </w:t>
      </w:r>
      <w:r w:rsidR="00BE3018">
        <w:t>S</w:t>
      </w:r>
      <w:r w:rsidR="00356138">
        <w:t xml:space="preserve">chool students will be </w:t>
      </w:r>
      <w:r w:rsidR="00BE3018">
        <w:t xml:space="preserve">develop relationships among themselves as well as with </w:t>
      </w:r>
      <w:r w:rsidR="00C96DB0">
        <w:t xml:space="preserve">parents and </w:t>
      </w:r>
      <w:r w:rsidR="005E4797">
        <w:t>other adults in the congregation.</w:t>
      </w:r>
    </w:p>
    <w:p w:rsidR="0051781E" w:rsidRPr="006C6E35" w:rsidRDefault="009C7DB4" w:rsidP="00D03E9B">
      <w:pPr>
        <w:spacing w:after="120" w:line="240" w:lineRule="auto"/>
        <w:rPr>
          <w:b/>
        </w:rPr>
      </w:pPr>
      <w:r w:rsidRPr="006C6E35">
        <w:rPr>
          <w:b/>
        </w:rPr>
        <w:t>2. Coordination</w:t>
      </w:r>
      <w:r w:rsidR="00554733">
        <w:rPr>
          <w:b/>
        </w:rPr>
        <w:t xml:space="preserve"> of youth programs, events, and ministries</w:t>
      </w:r>
      <w:r w:rsidRPr="006C6E35">
        <w:rPr>
          <w:b/>
        </w:rPr>
        <w:t xml:space="preserve"> – </w:t>
      </w:r>
      <w:r w:rsidR="00554733" w:rsidRPr="00554733">
        <w:t xml:space="preserve">To </w:t>
      </w:r>
      <w:r w:rsidRPr="00554733">
        <w:t>develop</w:t>
      </w:r>
      <w:r w:rsidR="0051781E" w:rsidRPr="00554733">
        <w:t>, coordinate,</w:t>
      </w:r>
      <w:r w:rsidRPr="00554733">
        <w:t xml:space="preserve"> and evaluate program</w:t>
      </w:r>
      <w:r w:rsidR="00554733">
        <w:t>s</w:t>
      </w:r>
      <w:r w:rsidRPr="00554733">
        <w:t>, events, and ministries for youth that encourages discipleship, mentorship, and Christian community within the life of ICRC</w:t>
      </w:r>
      <w:r w:rsidR="0051781E" w:rsidRPr="00554733">
        <w:t xml:space="preserve"> utilizing the service</w:t>
      </w:r>
      <w:r w:rsidR="002E5F76">
        <w:t>s of four committees as follows:</w:t>
      </w:r>
    </w:p>
    <w:p w:rsidR="00C96DB0" w:rsidRDefault="0051781E" w:rsidP="002E5F76">
      <w:pPr>
        <w:pStyle w:val="ListParagraph"/>
        <w:numPr>
          <w:ilvl w:val="0"/>
          <w:numId w:val="6"/>
        </w:numPr>
        <w:spacing w:after="120" w:line="240" w:lineRule="auto"/>
      </w:pPr>
      <w:r w:rsidRPr="002E5F76">
        <w:rPr>
          <w:b/>
        </w:rPr>
        <w:t>Student Action Leadership Team</w:t>
      </w:r>
      <w:r w:rsidR="00BE3018">
        <w:t xml:space="preserve"> (SALT)</w:t>
      </w:r>
      <w:r>
        <w:t xml:space="preserve"> is a group of youth able to offer suggestions </w:t>
      </w:r>
      <w:r w:rsidR="006463B9">
        <w:t xml:space="preserve">as </w:t>
      </w:r>
      <w:r>
        <w:t xml:space="preserve">to the event calendar and </w:t>
      </w:r>
      <w:r w:rsidR="006463B9">
        <w:t xml:space="preserve">provide ideas and </w:t>
      </w:r>
      <w:r>
        <w:t xml:space="preserve">feedback on all components of the youth and intergenerational ministry. These students </w:t>
      </w:r>
      <w:r w:rsidR="00554733">
        <w:t>may be expected</w:t>
      </w:r>
      <w:r>
        <w:t xml:space="preserve"> </w:t>
      </w:r>
      <w:r w:rsidR="00C320DC">
        <w:t xml:space="preserve">(i) </w:t>
      </w:r>
      <w:r w:rsidR="00554733">
        <w:t xml:space="preserve">to </w:t>
      </w:r>
      <w:r w:rsidR="00C320DC">
        <w:t xml:space="preserve">demonstrate a maturing relationship with Jesus Christ, (ii) </w:t>
      </w:r>
      <w:r w:rsidR="00C96DB0">
        <w:t xml:space="preserve">encourage, </w:t>
      </w:r>
      <w:r w:rsidR="00C320DC">
        <w:t>promote all aspects of youth ministry, (iii) exhibit leadership in relation to their peers, and (iv</w:t>
      </w:r>
      <w:r w:rsidR="006463B9">
        <w:t>.</w:t>
      </w:r>
      <w:r w:rsidR="00C320DC">
        <w:t>)</w:t>
      </w:r>
      <w:r w:rsidR="006463B9">
        <w:t xml:space="preserve"> </w:t>
      </w:r>
      <w:r w:rsidR="00C320DC">
        <w:t xml:space="preserve">represent </w:t>
      </w:r>
      <w:r w:rsidR="00BE3018">
        <w:t>Junior</w:t>
      </w:r>
      <w:r w:rsidR="00C320DC">
        <w:t xml:space="preserve"> and Senior High Schools</w:t>
      </w:r>
      <w:r w:rsidR="006463B9">
        <w:t>, and colleges,</w:t>
      </w:r>
      <w:r w:rsidR="00C320DC">
        <w:t xml:space="preserve"> they attend.</w:t>
      </w:r>
    </w:p>
    <w:p w:rsidR="005E4797" w:rsidRDefault="00C320DC" w:rsidP="002E5F76">
      <w:pPr>
        <w:pStyle w:val="ListParagraph"/>
        <w:numPr>
          <w:ilvl w:val="0"/>
          <w:numId w:val="6"/>
        </w:numPr>
        <w:spacing w:after="120" w:line="240" w:lineRule="auto"/>
      </w:pPr>
      <w:r w:rsidRPr="002E5F76">
        <w:rPr>
          <w:b/>
        </w:rPr>
        <w:t>Intergenerational Ministries Advisory Committee</w:t>
      </w:r>
      <w:r>
        <w:t xml:space="preserve"> </w:t>
      </w:r>
      <w:r w:rsidR="00BE3018">
        <w:t xml:space="preserve">(IMAC) </w:t>
      </w:r>
      <w:r>
        <w:t xml:space="preserve">is a group of adults that </w:t>
      </w:r>
      <w:r w:rsidR="00554733">
        <w:t xml:space="preserve">help plan, organize, and provide support to the </w:t>
      </w:r>
      <w:r w:rsidR="009B7238">
        <w:t>DOYIM</w:t>
      </w:r>
      <w:r w:rsidR="00554733">
        <w:t xml:space="preserve"> in </w:t>
      </w:r>
      <w:r>
        <w:t xml:space="preserve">the </w:t>
      </w:r>
      <w:r w:rsidR="00C96DB0">
        <w:t>Y</w:t>
      </w:r>
      <w:r>
        <w:t>outh</w:t>
      </w:r>
      <w:r w:rsidR="00C96DB0">
        <w:t xml:space="preserve"> and Intergenerational M</w:t>
      </w:r>
      <w:r>
        <w:t>inistry at ICRC. This group provides the main support</w:t>
      </w:r>
      <w:r w:rsidR="005603AB">
        <w:t xml:space="preserve"> for the Youth Pastor and is a resource for parents</w:t>
      </w:r>
      <w:r w:rsidR="00554733">
        <w:t>, families, and youth</w:t>
      </w:r>
      <w:r w:rsidR="005603AB">
        <w:t xml:space="preserve">. It is important that this group </w:t>
      </w:r>
      <w:r w:rsidR="005E4797">
        <w:t xml:space="preserve">work in close collaboration with the </w:t>
      </w:r>
      <w:r w:rsidR="009B7238">
        <w:t>DOYIM</w:t>
      </w:r>
      <w:r w:rsidR="005E4797">
        <w:t>.</w:t>
      </w:r>
    </w:p>
    <w:p w:rsidR="002318CE" w:rsidRDefault="00C96DB0" w:rsidP="002E5F76">
      <w:pPr>
        <w:pStyle w:val="ListParagraph"/>
        <w:numPr>
          <w:ilvl w:val="0"/>
          <w:numId w:val="6"/>
        </w:numPr>
        <w:spacing w:after="120" w:line="240" w:lineRule="auto"/>
      </w:pPr>
      <w:r w:rsidRPr="002E5F76">
        <w:rPr>
          <w:b/>
        </w:rPr>
        <w:lastRenderedPageBreak/>
        <w:t xml:space="preserve">ICRC </w:t>
      </w:r>
      <w:r w:rsidR="005603AB" w:rsidRPr="002E5F76">
        <w:rPr>
          <w:b/>
        </w:rPr>
        <w:t>Council and Elders</w:t>
      </w:r>
      <w:r w:rsidR="005603AB">
        <w:t xml:space="preserve"> – The </w:t>
      </w:r>
      <w:r w:rsidR="009B7238">
        <w:t>DOYIM</w:t>
      </w:r>
      <w:r w:rsidR="005603AB">
        <w:t xml:space="preserve"> serves as an unofficial member of ICRC’s council, </w:t>
      </w:r>
      <w:r w:rsidR="00BE3018">
        <w:t xml:space="preserve">and may attend </w:t>
      </w:r>
      <w:r w:rsidR="005603AB">
        <w:t>elders</w:t>
      </w:r>
      <w:r w:rsidR="00BE3018">
        <w:t xml:space="preserve"> meetings as deemed appropriate</w:t>
      </w:r>
      <w:r w:rsidR="005603AB">
        <w:t>.</w:t>
      </w:r>
      <w:r w:rsidR="002318CE">
        <w:t xml:space="preserve"> The attendance of the </w:t>
      </w:r>
      <w:r w:rsidR="009B7238">
        <w:t>DOYIM</w:t>
      </w:r>
      <w:r w:rsidR="002318CE">
        <w:t xml:space="preserve"> at Council meetings is essential to help the Youth Pastor understand the congregation and </w:t>
      </w:r>
      <w:r w:rsidR="006750B6">
        <w:t xml:space="preserve">to have a voice advising the council on implementing the </w:t>
      </w:r>
      <w:r>
        <w:t>Y</w:t>
      </w:r>
      <w:r w:rsidR="006750B6">
        <w:t xml:space="preserve">outh and </w:t>
      </w:r>
      <w:r>
        <w:t>I</w:t>
      </w:r>
      <w:r w:rsidR="006750B6">
        <w:t xml:space="preserve">ntergenerational </w:t>
      </w:r>
      <w:r>
        <w:t>M</w:t>
      </w:r>
      <w:r w:rsidR="006750B6">
        <w:t>inistry, also in coordination with other ICRC ministries</w:t>
      </w:r>
      <w:r>
        <w:t xml:space="preserve"> in caring for the ICRC</w:t>
      </w:r>
      <w:r w:rsidR="002318CE">
        <w:t>.</w:t>
      </w:r>
    </w:p>
    <w:p w:rsidR="002318CE" w:rsidRDefault="002318CE" w:rsidP="002E5F76">
      <w:pPr>
        <w:pStyle w:val="ListParagraph"/>
        <w:numPr>
          <w:ilvl w:val="0"/>
          <w:numId w:val="6"/>
        </w:numPr>
        <w:spacing w:after="120" w:line="240" w:lineRule="auto"/>
      </w:pPr>
      <w:r w:rsidRPr="002E5F76">
        <w:rPr>
          <w:b/>
        </w:rPr>
        <w:t>Ministry staff meeting</w:t>
      </w:r>
      <w:r>
        <w:t xml:space="preserve"> – Regular meetings with all ministry </w:t>
      </w:r>
      <w:r w:rsidR="005E4797">
        <w:t xml:space="preserve">or individual </w:t>
      </w:r>
      <w:r>
        <w:t>ministr</w:t>
      </w:r>
      <w:r w:rsidR="005E4797">
        <w:t>y</w:t>
      </w:r>
      <w:r w:rsidR="00C96DB0">
        <w:t xml:space="preserve"> staff</w:t>
      </w:r>
      <w:r>
        <w:t xml:space="preserve"> so as to report on</w:t>
      </w:r>
      <w:r w:rsidR="006750B6">
        <w:t xml:space="preserve"> </w:t>
      </w:r>
      <w:r w:rsidR="00C96DB0">
        <w:t>Y</w:t>
      </w:r>
      <w:r w:rsidR="006750B6">
        <w:t xml:space="preserve">outh and </w:t>
      </w:r>
      <w:r w:rsidR="00C96DB0">
        <w:t>I</w:t>
      </w:r>
      <w:r w:rsidR="006750B6">
        <w:t xml:space="preserve">ntergenerational </w:t>
      </w:r>
      <w:r w:rsidR="00C96DB0">
        <w:t>M</w:t>
      </w:r>
      <w:r w:rsidR="006750B6">
        <w:t>inistry</w:t>
      </w:r>
      <w:r w:rsidR="00D2640E">
        <w:t xml:space="preserve"> and keep informed</w:t>
      </w:r>
      <w:r w:rsidR="00FF1899">
        <w:t xml:space="preserve"> and to</w:t>
      </w:r>
      <w:r w:rsidR="00C96DB0">
        <w:t xml:space="preserve"> assist in</w:t>
      </w:r>
      <w:r w:rsidR="00FF1899">
        <w:t xml:space="preserve"> coordinat</w:t>
      </w:r>
      <w:r w:rsidR="00C96DB0">
        <w:t>ion</w:t>
      </w:r>
      <w:r w:rsidR="00FF1899">
        <w:t xml:space="preserve"> with</w:t>
      </w:r>
      <w:r w:rsidR="00D2640E">
        <w:t xml:space="preserve"> </w:t>
      </w:r>
      <w:r w:rsidR="006750B6">
        <w:t xml:space="preserve">other ministries </w:t>
      </w:r>
      <w:r w:rsidR="00FF1899">
        <w:t xml:space="preserve">in </w:t>
      </w:r>
      <w:r w:rsidR="006750B6">
        <w:t>planning</w:t>
      </w:r>
      <w:r w:rsidR="00D2640E">
        <w:t xml:space="preserve"> church events, </w:t>
      </w:r>
      <w:r w:rsidR="006750B6">
        <w:t>youth services</w:t>
      </w:r>
      <w:r w:rsidR="005E4797">
        <w:t xml:space="preserve"> and other events</w:t>
      </w:r>
      <w:r w:rsidR="006750B6">
        <w:t xml:space="preserve">, </w:t>
      </w:r>
      <w:r w:rsidR="00D2640E">
        <w:t xml:space="preserve">newsletters, </w:t>
      </w:r>
      <w:r w:rsidR="00554733">
        <w:t>and all media announcements.</w:t>
      </w:r>
    </w:p>
    <w:p w:rsidR="00AE2A9A" w:rsidRPr="005E4797" w:rsidRDefault="002E0700" w:rsidP="00D03E9B">
      <w:pPr>
        <w:spacing w:after="120" w:line="240" w:lineRule="auto"/>
      </w:pPr>
      <w:r w:rsidRPr="006C6E35">
        <w:rPr>
          <w:b/>
        </w:rPr>
        <w:t xml:space="preserve">3. </w:t>
      </w:r>
      <w:r w:rsidR="005E4797">
        <w:rPr>
          <w:b/>
        </w:rPr>
        <w:t>D</w:t>
      </w:r>
      <w:r w:rsidRPr="006C6E35">
        <w:rPr>
          <w:b/>
        </w:rPr>
        <w:t xml:space="preserve">evelopment </w:t>
      </w:r>
      <w:r w:rsidR="000233B6" w:rsidRPr="006C6E35">
        <w:rPr>
          <w:b/>
        </w:rPr>
        <w:t>of Youth and Intergenerational Ministry</w:t>
      </w:r>
      <w:r w:rsidR="005E4797">
        <w:rPr>
          <w:b/>
        </w:rPr>
        <w:t xml:space="preserve"> programs</w:t>
      </w:r>
      <w:r w:rsidR="000233B6" w:rsidRPr="006C6E35">
        <w:rPr>
          <w:b/>
        </w:rPr>
        <w:t xml:space="preserve"> </w:t>
      </w:r>
      <w:r w:rsidR="00554137" w:rsidRPr="005E4797">
        <w:t>– includes</w:t>
      </w:r>
      <w:r w:rsidR="00C96DB0" w:rsidRPr="005E4797">
        <w:t xml:space="preserve"> but is not exhaustive of</w:t>
      </w:r>
      <w:r w:rsidR="00554137" w:rsidRPr="005E4797">
        <w:t xml:space="preserve"> </w:t>
      </w:r>
      <w:r w:rsidR="002E5F76">
        <w:t>the following:</w:t>
      </w:r>
    </w:p>
    <w:p w:rsidR="00F673C1" w:rsidRDefault="00F673C1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devote, on a weekly basis, time and energy to journey individual young people, and where appropriate their friends and parents/family. </w:t>
      </w:r>
      <w:r w:rsidR="00AE2A9A">
        <w:t xml:space="preserve"> </w:t>
      </w:r>
    </w:p>
    <w:p w:rsidR="00AE2A9A" w:rsidRDefault="00AE2A9A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working together with IMAC will </w:t>
      </w:r>
      <w:r w:rsidR="00F673C1">
        <w:t>strive to establish and maintain</w:t>
      </w:r>
      <w:r>
        <w:t xml:space="preserve"> an environment enabling the care</w:t>
      </w:r>
      <w:r w:rsidR="00C96DB0">
        <w:t xml:space="preserve"> and support</w:t>
      </w:r>
      <w:r>
        <w:t xml:space="preserve"> of youth in having adults journey with them in respectful relationships.</w:t>
      </w:r>
    </w:p>
    <w:p w:rsidR="00AE2A9A" w:rsidRDefault="00F673C1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working together with IMAC </w:t>
      </w:r>
      <w:r w:rsidR="001C5327">
        <w:t xml:space="preserve">and SALT </w:t>
      </w:r>
      <w:r>
        <w:t xml:space="preserve">will provide </w:t>
      </w:r>
      <w:r w:rsidR="00554137">
        <w:t>opportunities</w:t>
      </w:r>
      <w:r>
        <w:t>, spaces, and programs f</w:t>
      </w:r>
      <w:r w:rsidR="00554137">
        <w:t xml:space="preserve">or youth and young adults to explore their faith, its history, and its </w:t>
      </w:r>
      <w:r>
        <w:t xml:space="preserve">implementation </w:t>
      </w:r>
      <w:r w:rsidR="00554137">
        <w:t>in everyday life</w:t>
      </w:r>
      <w:r w:rsidR="00AE2A9A">
        <w:t xml:space="preserve"> through small group</w:t>
      </w:r>
      <w:r>
        <w:t xml:space="preserve"> gathering</w:t>
      </w:r>
      <w:r w:rsidR="00C96DB0">
        <w:t>s</w:t>
      </w:r>
      <w:r>
        <w:t xml:space="preserve"> and</w:t>
      </w:r>
      <w:r w:rsidR="00AE2A9A">
        <w:t xml:space="preserve"> catechism</w:t>
      </w:r>
      <w:r>
        <w:t xml:space="preserve"> (formal instruction)</w:t>
      </w:r>
      <w:r w:rsidR="00AE2A9A">
        <w:t xml:space="preserve"> classes. The </w:t>
      </w:r>
      <w:r w:rsidR="009B7238">
        <w:t>DOYIM</w:t>
      </w:r>
      <w:r w:rsidR="00AE2A9A">
        <w:t xml:space="preserve"> together with </w:t>
      </w:r>
      <w:r w:rsidR="005E4797">
        <w:t xml:space="preserve">members of </w:t>
      </w:r>
      <w:r w:rsidR="00AE2A9A">
        <w:t>IMAC will development curricul</w:t>
      </w:r>
      <w:r w:rsidR="005E4797">
        <w:t>a</w:t>
      </w:r>
      <w:r w:rsidR="00AE2A9A">
        <w:t xml:space="preserve">, and avail themselves with whatever resources are deemed appropriate </w:t>
      </w:r>
      <w:r w:rsidR="00C96DB0">
        <w:t xml:space="preserve">in planning </w:t>
      </w:r>
      <w:r w:rsidR="00AE2A9A">
        <w:t>to meet the challenges of th</w:t>
      </w:r>
      <w:r>
        <w:t>ese</w:t>
      </w:r>
      <w:r w:rsidR="00AE2A9A">
        <w:t xml:space="preserve"> program</w:t>
      </w:r>
      <w:r>
        <w:t>s</w:t>
      </w:r>
      <w:r w:rsidR="00AE2A9A">
        <w:t>.</w:t>
      </w:r>
    </w:p>
    <w:p w:rsidR="00897829" w:rsidRDefault="00F673C1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working together with IMAC and SALT is expected design and implement</w:t>
      </w:r>
      <w:r w:rsidR="00554137">
        <w:t xml:space="preserve"> opportunities for young people to attend and participate in retreats, conference</w:t>
      </w:r>
      <w:r w:rsidR="00897829">
        <w:t>s</w:t>
      </w:r>
      <w:r w:rsidR="00554137">
        <w:t>, service trip</w:t>
      </w:r>
      <w:r w:rsidR="00897829">
        <w:t>s</w:t>
      </w:r>
      <w:r w:rsidR="00554137">
        <w:t xml:space="preserve"> and local service opportunities.</w:t>
      </w:r>
      <w:r w:rsidR="00897829">
        <w:t xml:space="preserve"> There are </w:t>
      </w:r>
      <w:r>
        <w:t>numerous</w:t>
      </w:r>
      <w:r w:rsidR="00897829">
        <w:t xml:space="preserve"> ways of achieving these goals and</w:t>
      </w:r>
      <w:r w:rsidR="00AE2A9A">
        <w:t xml:space="preserve"> the </w:t>
      </w:r>
      <w:r w:rsidR="009B7238">
        <w:t>DOYIM</w:t>
      </w:r>
      <w:r w:rsidR="000B483D">
        <w:t>,</w:t>
      </w:r>
      <w:r w:rsidR="00897829">
        <w:t xml:space="preserve"> </w:t>
      </w:r>
      <w:r w:rsidR="000B483D">
        <w:t xml:space="preserve">working </w:t>
      </w:r>
      <w:r w:rsidR="00AE2A9A">
        <w:t xml:space="preserve">together with </w:t>
      </w:r>
      <w:r w:rsidR="00897829">
        <w:t>IMAC</w:t>
      </w:r>
      <w:r w:rsidR="00FF1899">
        <w:t xml:space="preserve"> and SALT</w:t>
      </w:r>
      <w:r w:rsidR="000B483D">
        <w:t>,</w:t>
      </w:r>
      <w:r w:rsidR="00897829">
        <w:t xml:space="preserve"> </w:t>
      </w:r>
      <w:r w:rsidR="000B483D">
        <w:t>is</w:t>
      </w:r>
      <w:r w:rsidR="00AE2A9A">
        <w:t xml:space="preserve"> </w:t>
      </w:r>
      <w:r w:rsidR="00897829">
        <w:t xml:space="preserve">expected to </w:t>
      </w:r>
      <w:r w:rsidR="000B483D">
        <w:t>articulate and implement these goals in a manner that recognizes distinct and common aspirations of youth and adults (</w:t>
      </w:r>
      <w:r w:rsidR="00C96DB0">
        <w:t xml:space="preserve">i.e., </w:t>
      </w:r>
      <w:r w:rsidR="000B483D">
        <w:t>intergenerational).</w:t>
      </w:r>
    </w:p>
    <w:p w:rsidR="0071660F" w:rsidRDefault="000B483D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is expected to provide </w:t>
      </w:r>
      <w:r w:rsidR="0071660F">
        <w:t>spiritual leadership,</w:t>
      </w:r>
      <w:r>
        <w:t xml:space="preserve"> by example, and in</w:t>
      </w:r>
      <w:r w:rsidR="0071660F">
        <w:t xml:space="preserve"> training</w:t>
      </w:r>
      <w:r>
        <w:t>, counseling, and encouraging</w:t>
      </w:r>
      <w:r w:rsidR="0071660F">
        <w:t xml:space="preserve"> the preparation of youth leaders, including leading small groups, Bible study, crises counseling and referral, etc. In order to train youth leaders and build cohesive team</w:t>
      </w:r>
      <w:r>
        <w:t>s</w:t>
      </w:r>
      <w:r w:rsidR="0071660F">
        <w:t xml:space="preserve">, regular meetings are scheduled for </w:t>
      </w:r>
      <w:r w:rsidR="00FF1899">
        <w:t xml:space="preserve">aspiring </w:t>
      </w:r>
      <w:r w:rsidR="0071660F">
        <w:t>leaders</w:t>
      </w:r>
      <w:r w:rsidR="00C96DB0">
        <w:t>, individually and collectively</w:t>
      </w:r>
      <w:r w:rsidR="0071660F">
        <w:t>.</w:t>
      </w:r>
    </w:p>
    <w:p w:rsidR="001C5327" w:rsidRDefault="001C5327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Personal planning – In addition to planning and coordination in consultation with SALT, IMAC, the ICRC Council, </w:t>
      </w:r>
      <w:r w:rsidR="00C96DB0">
        <w:t>and regular Ministry staff,</w:t>
      </w:r>
      <w:r>
        <w:t xml:space="preserve"> the </w:t>
      </w:r>
      <w:r w:rsidR="009B7238">
        <w:t>DOYIM</w:t>
      </w:r>
      <w:r>
        <w:t xml:space="preserve"> will set </w:t>
      </w:r>
      <w:r w:rsidR="00732937">
        <w:t>personal time apart</w:t>
      </w:r>
      <w:r>
        <w:t xml:space="preserve"> for planning and determining a longer term vision of the Youth and Intergenerational ministry, </w:t>
      </w:r>
      <w:r w:rsidR="009F6070">
        <w:t xml:space="preserve">determining </w:t>
      </w:r>
      <w:r>
        <w:t>requirements</w:t>
      </w:r>
      <w:r w:rsidR="00FF1899">
        <w:t>,</w:t>
      </w:r>
      <w:r>
        <w:t xml:space="preserve"> and </w:t>
      </w:r>
      <w:r w:rsidR="00732937">
        <w:t xml:space="preserve">requisite </w:t>
      </w:r>
      <w:r>
        <w:t>support in implementing this ministry</w:t>
      </w:r>
      <w:r w:rsidR="009F6070">
        <w:t>.</w:t>
      </w:r>
    </w:p>
    <w:p w:rsidR="00D70DD1" w:rsidRDefault="0071660F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also provide leadership in risk management which includes implementing Safe Church/Winning Kids Policy and Procedure Guidelines</w:t>
      </w:r>
      <w:r w:rsidR="00D70DD1">
        <w:t xml:space="preserve"> and training adult leaders to do so.</w:t>
      </w:r>
    </w:p>
    <w:p w:rsidR="00D70DD1" w:rsidRDefault="003C20F2" w:rsidP="00D703BC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Communication – the </w:t>
      </w:r>
      <w:r w:rsidR="009B7238">
        <w:t>DOYIM</w:t>
      </w:r>
      <w:r>
        <w:t xml:space="preserve"> will develop and implement effective communication with youth, parents, IMAC, </w:t>
      </w:r>
      <w:r w:rsidR="000B483D">
        <w:t xml:space="preserve">SALT, the ICRC </w:t>
      </w:r>
      <w:r>
        <w:t>congregation</w:t>
      </w:r>
      <w:r w:rsidR="009F6070">
        <w:t>, and other ministry staff</w:t>
      </w:r>
      <w:r>
        <w:t xml:space="preserve"> through multiple media, including ICRC web, print, and social media</w:t>
      </w:r>
      <w:r w:rsidR="009F6070">
        <w:t>, as well as written reports</w:t>
      </w:r>
      <w:r>
        <w:t>.</w:t>
      </w:r>
    </w:p>
    <w:p w:rsidR="003C20F2" w:rsidRPr="006C6E35" w:rsidRDefault="003C20F2" w:rsidP="00D03E9B">
      <w:pPr>
        <w:spacing w:after="120" w:line="240" w:lineRule="auto"/>
        <w:rPr>
          <w:b/>
        </w:rPr>
      </w:pPr>
      <w:r w:rsidRPr="006C6E35">
        <w:rPr>
          <w:b/>
        </w:rPr>
        <w:t>4. Specific tasks</w:t>
      </w:r>
    </w:p>
    <w:p w:rsidR="003C20F2" w:rsidRDefault="003C20F2" w:rsidP="00D03E9B">
      <w:pPr>
        <w:spacing w:after="120" w:line="240" w:lineRule="auto"/>
      </w:pPr>
      <w:r>
        <w:t xml:space="preserve">The </w:t>
      </w:r>
      <w:r w:rsidR="009B7238">
        <w:t>DOYIM</w:t>
      </w:r>
      <w:r>
        <w:t xml:space="preserve"> will establish close and nurturing relationships with young people by way of</w:t>
      </w:r>
      <w:r w:rsidR="002E5F76">
        <w:t>:</w:t>
      </w:r>
    </w:p>
    <w:p w:rsidR="003C20F2" w:rsidRDefault="003C20F2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Direct </w:t>
      </w:r>
      <w:r w:rsidR="00732937">
        <w:t>communication</w:t>
      </w:r>
      <w:r>
        <w:t xml:space="preserve"> </w:t>
      </w:r>
      <w:r w:rsidR="006028B6">
        <w:t xml:space="preserve">with </w:t>
      </w:r>
      <w:r w:rsidR="001C5327">
        <w:t>individual young people</w:t>
      </w:r>
      <w:r w:rsidR="006028B6">
        <w:t xml:space="preserve"> </w:t>
      </w:r>
      <w:r>
        <w:t>at church</w:t>
      </w:r>
      <w:r w:rsidR="001C5327">
        <w:t>,</w:t>
      </w:r>
      <w:r>
        <w:t xml:space="preserve"> school</w:t>
      </w:r>
      <w:r w:rsidR="001C5327">
        <w:t>,</w:t>
      </w:r>
      <w:r>
        <w:t xml:space="preserve"> and place of employment</w:t>
      </w:r>
    </w:p>
    <w:p w:rsidR="003C20F2" w:rsidRDefault="003C20F2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Personal visitation</w:t>
      </w:r>
      <w:r w:rsidR="006028B6">
        <w:t xml:space="preserve"> with youth</w:t>
      </w:r>
      <w:r w:rsidR="00E872CD">
        <w:t>, families, relevant adults</w:t>
      </w:r>
    </w:p>
    <w:p w:rsidR="003C20F2" w:rsidRDefault="003C20F2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Individual confidential support as needed</w:t>
      </w:r>
      <w:r w:rsidR="006028B6">
        <w:t xml:space="preserve"> to youth, their friends, and parents</w:t>
      </w:r>
    </w:p>
    <w:p w:rsidR="00C320DC" w:rsidRDefault="003C20F2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Attendance and participation in youth events, social and recreational</w:t>
      </w:r>
      <w:r w:rsidR="00E634E4">
        <w:t>, and in church worship services</w:t>
      </w:r>
    </w:p>
    <w:p w:rsidR="00AF09EF" w:rsidRDefault="003C20F2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Encourag</w:t>
      </w:r>
      <w:r w:rsidR="009F6070">
        <w:t>ing</w:t>
      </w:r>
      <w:r>
        <w:t xml:space="preserve"> young people to use their gifts in worship services</w:t>
      </w:r>
      <w:r w:rsidR="001C5327">
        <w:t>, in</w:t>
      </w:r>
      <w:r w:rsidR="006A7ACB">
        <w:t xml:space="preserve"> larger CRC events</w:t>
      </w:r>
      <w:r w:rsidR="001C5327">
        <w:t>, and in service to their communities.</w:t>
      </w:r>
    </w:p>
    <w:p w:rsidR="00AF09EF" w:rsidRDefault="00AF09EF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Regular monthly meetings with IMAC and SALT teams</w:t>
      </w:r>
      <w:r w:rsidR="00FF1899">
        <w:t xml:space="preserve"> in order to build these teams, provide</w:t>
      </w:r>
      <w:r w:rsidR="009F6070">
        <w:t xml:space="preserve"> and seek from</w:t>
      </w:r>
      <w:r w:rsidR="00FF1899">
        <w:t xml:space="preserve"> them guidance, and encourag</w:t>
      </w:r>
      <w:r w:rsidR="009F6070">
        <w:t>ement in all aspects of the Youth and Intergenerational Ministry</w:t>
      </w:r>
    </w:p>
    <w:p w:rsidR="00732937" w:rsidRDefault="00732937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Regular monthly Safe Church meetings</w:t>
      </w:r>
    </w:p>
    <w:p w:rsidR="00FF1899" w:rsidRDefault="00AF09EF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>Regular appearances at Sunday services to report to the congregation on specific events</w:t>
      </w:r>
      <w:r w:rsidR="00FF1899">
        <w:t xml:space="preserve"> planned and implemented</w:t>
      </w:r>
    </w:p>
    <w:p w:rsidR="00AF0C25" w:rsidRDefault="00AF0C25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To keep the </w:t>
      </w:r>
      <w:r w:rsidR="009B7238">
        <w:t>S</w:t>
      </w:r>
      <w:r>
        <w:t>enior Pastor apprised of any concerns pertaining to individuals and families</w:t>
      </w:r>
      <w:r w:rsidR="009F6070">
        <w:t xml:space="preserve"> encountered in the youth ministry</w:t>
      </w:r>
    </w:p>
    <w:p w:rsidR="00AF0C25" w:rsidRDefault="00AF0C25" w:rsidP="00D703BC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To keep up to date on denominational and other literature relevant to </w:t>
      </w:r>
      <w:r w:rsidR="009F6070">
        <w:t>Y</w:t>
      </w:r>
      <w:r>
        <w:t xml:space="preserve">outh and </w:t>
      </w:r>
      <w:r w:rsidR="009F6070">
        <w:t>I</w:t>
      </w:r>
      <w:r>
        <w:t xml:space="preserve">ntergenerational </w:t>
      </w:r>
      <w:r w:rsidR="009F6070">
        <w:t>M</w:t>
      </w:r>
      <w:r>
        <w:t>inistry, including programming, educational materials, events, and conferences.</w:t>
      </w:r>
      <w:r w:rsidR="009F6070">
        <w:t xml:space="preserve"> It is also expected that the </w:t>
      </w:r>
      <w:r w:rsidR="009B7238">
        <w:t>DOYIM</w:t>
      </w:r>
      <w:r w:rsidR="009F6070">
        <w:t xml:space="preserve"> keep abreast of all local</w:t>
      </w:r>
      <w:r w:rsidR="00732937">
        <w:t xml:space="preserve"> and global</w:t>
      </w:r>
      <w:r w:rsidR="009F6070">
        <w:t xml:space="preserve"> developments of a communal, societal, and economic, and political nature</w:t>
      </w:r>
    </w:p>
    <w:p w:rsidR="006A7ACB" w:rsidRPr="006C6E35" w:rsidRDefault="006C6E35" w:rsidP="00D03E9B">
      <w:pPr>
        <w:spacing w:after="120" w:line="240" w:lineRule="auto"/>
        <w:rPr>
          <w:b/>
        </w:rPr>
      </w:pPr>
      <w:r w:rsidRPr="006C6E35">
        <w:rPr>
          <w:b/>
        </w:rPr>
        <w:t>5</w:t>
      </w:r>
      <w:r w:rsidR="006A7ACB" w:rsidRPr="006C6E35">
        <w:rPr>
          <w:b/>
        </w:rPr>
        <w:t xml:space="preserve">. </w:t>
      </w:r>
      <w:r w:rsidR="009F6070">
        <w:rPr>
          <w:b/>
        </w:rPr>
        <w:t xml:space="preserve">Regular Meetings and </w:t>
      </w:r>
      <w:r w:rsidR="006A7ACB" w:rsidRPr="006C6E35">
        <w:rPr>
          <w:b/>
        </w:rPr>
        <w:t>Reporting</w:t>
      </w:r>
      <w:r>
        <w:rPr>
          <w:b/>
        </w:rPr>
        <w:t xml:space="preserve"> </w:t>
      </w:r>
    </w:p>
    <w:p w:rsidR="006A7ACB" w:rsidRDefault="006A7ACB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</w:t>
      </w:r>
      <w:r w:rsidR="001833DD">
        <w:t>t</w:t>
      </w:r>
      <w:r>
        <w:t>ake direction from and report directly to the Senior Pastor.</w:t>
      </w:r>
    </w:p>
    <w:p w:rsidR="00E634E4" w:rsidRDefault="00E634E4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provide monthly reports to the ICRC council</w:t>
      </w:r>
      <w:r w:rsidR="001C5327">
        <w:t>.</w:t>
      </w:r>
    </w:p>
    <w:p w:rsidR="00E634E4" w:rsidRDefault="00E634E4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report, as deemed appropriate, to the elders at monthly meetings</w:t>
      </w:r>
      <w:r w:rsidR="001C5327">
        <w:t>.</w:t>
      </w:r>
    </w:p>
    <w:p w:rsidR="00E634E4" w:rsidRDefault="00E634E4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provide a report of </w:t>
      </w:r>
      <w:r w:rsidR="001B7A84">
        <w:t>the Youth and Intergenerational Ministry</w:t>
      </w:r>
      <w:r>
        <w:t xml:space="preserve"> at the annual congregational meeting of ICRC.</w:t>
      </w:r>
    </w:p>
    <w:p w:rsidR="00E634E4" w:rsidRDefault="001C5327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keep the other ICRC ministries informed to</w:t>
      </w:r>
      <w:r w:rsidR="002E3BAD">
        <w:t xml:space="preserve"> Youth and Intergenerational Ministry</w:t>
      </w:r>
      <w:r>
        <w:t xml:space="preserve"> at weekly </w:t>
      </w:r>
      <w:r w:rsidR="00D64088">
        <w:t>ministr</w:t>
      </w:r>
      <w:r w:rsidR="009F6070">
        <w:t>y staff</w:t>
      </w:r>
      <w:r w:rsidR="00D64088">
        <w:t xml:space="preserve"> </w:t>
      </w:r>
      <w:r>
        <w:t>meetings.</w:t>
      </w:r>
    </w:p>
    <w:p w:rsidR="00D64088" w:rsidRDefault="00D64088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meet monthly to consult with and support IMAC and SALT committees</w:t>
      </w:r>
      <w:r w:rsidR="009F6070">
        <w:t>.</w:t>
      </w:r>
    </w:p>
    <w:p w:rsidR="00D64088" w:rsidRDefault="009F6070" w:rsidP="00D703B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="009B7238">
        <w:t>DOYIM</w:t>
      </w:r>
      <w:r>
        <w:t xml:space="preserve"> will be expected to lead or participate in all formal and informal programs instituted under the Youth and Intergenerational Ministry.</w:t>
      </w:r>
    </w:p>
    <w:p w:rsidR="00D03E9B" w:rsidRDefault="00D03E9B" w:rsidP="00673BDF">
      <w:pPr>
        <w:jc w:val="center"/>
        <w:rPr>
          <w:b/>
        </w:rPr>
      </w:pPr>
    </w:p>
    <w:p w:rsidR="00673BDF" w:rsidRDefault="00673BDF" w:rsidP="00D03E9B">
      <w:pPr>
        <w:spacing w:after="120" w:line="240" w:lineRule="auto"/>
        <w:jc w:val="center"/>
        <w:rPr>
          <w:b/>
        </w:rPr>
      </w:pPr>
      <w:r w:rsidRPr="00673BDF">
        <w:rPr>
          <w:b/>
        </w:rPr>
        <w:t>Key Performance indicators</w:t>
      </w:r>
      <w:r w:rsidR="00444DDE">
        <w:rPr>
          <w:b/>
        </w:rPr>
        <w:t xml:space="preserve"> (2015)</w:t>
      </w:r>
    </w:p>
    <w:p w:rsidR="00AA0586" w:rsidRPr="0056024C" w:rsidRDefault="00AA0586" w:rsidP="00D03E9B">
      <w:pPr>
        <w:spacing w:after="120" w:line="240" w:lineRule="auto"/>
        <w:rPr>
          <w:b/>
          <w:i/>
        </w:rPr>
      </w:pPr>
      <w:r w:rsidRPr="0056024C">
        <w:rPr>
          <w:b/>
          <w:i/>
        </w:rPr>
        <w:t xml:space="preserve">The </w:t>
      </w:r>
      <w:r w:rsidR="00444DDE">
        <w:rPr>
          <w:b/>
          <w:i/>
        </w:rPr>
        <w:t>4</w:t>
      </w:r>
      <w:r w:rsidR="00C05210" w:rsidRPr="0056024C">
        <w:rPr>
          <w:b/>
          <w:i/>
        </w:rPr>
        <w:t xml:space="preserve"> </w:t>
      </w:r>
      <w:r w:rsidRPr="0056024C">
        <w:rPr>
          <w:b/>
          <w:i/>
        </w:rPr>
        <w:t>headings below are intended to be completed on a quarterly basis with numbers</w:t>
      </w:r>
      <w:r w:rsidR="0080751D" w:rsidRPr="0056024C">
        <w:rPr>
          <w:b/>
          <w:i/>
        </w:rPr>
        <w:t xml:space="preserve"> where appropriate</w:t>
      </w:r>
      <w:r w:rsidRPr="0056024C">
        <w:rPr>
          <w:b/>
          <w:i/>
        </w:rPr>
        <w:t xml:space="preserve"> and/or short descriptions of accomplishments</w:t>
      </w:r>
      <w:r w:rsidR="00C05210" w:rsidRPr="0056024C">
        <w:rPr>
          <w:b/>
          <w:i/>
        </w:rPr>
        <w:t xml:space="preserve"> to be submitted to ICRC Council Executive</w:t>
      </w:r>
      <w:r w:rsidRPr="0056024C">
        <w:rPr>
          <w:b/>
          <w:i/>
        </w:rPr>
        <w:t>.</w:t>
      </w:r>
    </w:p>
    <w:p w:rsidR="00587DE8" w:rsidRPr="00D87086" w:rsidRDefault="00587DE8" w:rsidP="00D03E9B">
      <w:pPr>
        <w:spacing w:after="120" w:line="240" w:lineRule="auto"/>
        <w:rPr>
          <w:b/>
        </w:rPr>
      </w:pPr>
      <w:r w:rsidRPr="00D87086">
        <w:rPr>
          <w:b/>
        </w:rPr>
        <w:t>1. Regularly scheduled meetings</w:t>
      </w:r>
    </w:p>
    <w:p w:rsidR="00673BDF" w:rsidRDefault="00673BDF" w:rsidP="002E5F76">
      <w:pPr>
        <w:pStyle w:val="ListParagraph"/>
        <w:numPr>
          <w:ilvl w:val="0"/>
          <w:numId w:val="8"/>
        </w:numPr>
        <w:spacing w:after="120" w:line="240" w:lineRule="auto"/>
      </w:pPr>
      <w:r>
        <w:t>Weekly ministry staff meetings</w:t>
      </w:r>
      <w:r w:rsidR="00E872CD">
        <w:t xml:space="preserve"> (minimum 40 per year)</w:t>
      </w:r>
    </w:p>
    <w:p w:rsidR="00673BDF" w:rsidRDefault="00673BDF" w:rsidP="002E5F76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Monthly IMAC meetings </w:t>
      </w:r>
      <w:r w:rsidR="00E872CD">
        <w:t>(minimum 10 per year)</w:t>
      </w:r>
    </w:p>
    <w:p w:rsidR="00673BDF" w:rsidRDefault="00673BDF" w:rsidP="002E5F76">
      <w:pPr>
        <w:pStyle w:val="ListParagraph"/>
        <w:numPr>
          <w:ilvl w:val="0"/>
          <w:numId w:val="8"/>
        </w:numPr>
        <w:spacing w:after="120" w:line="240" w:lineRule="auto"/>
      </w:pPr>
      <w:r>
        <w:t>Monthly SALT meetings</w:t>
      </w:r>
      <w:r w:rsidR="00E872CD">
        <w:t xml:space="preserve"> (minimum 10 per year</w:t>
      </w:r>
    </w:p>
    <w:p w:rsidR="00673BDF" w:rsidRDefault="00673BDF" w:rsidP="002E5F76">
      <w:pPr>
        <w:pStyle w:val="ListParagraph"/>
        <w:numPr>
          <w:ilvl w:val="0"/>
          <w:numId w:val="8"/>
        </w:numPr>
        <w:spacing w:after="120" w:line="240" w:lineRule="auto"/>
      </w:pPr>
      <w:r>
        <w:t>Monthly ICRC Council meetings</w:t>
      </w:r>
      <w:r w:rsidR="00E872CD">
        <w:t xml:space="preserve"> (minimum 10 per year)</w:t>
      </w:r>
    </w:p>
    <w:p w:rsidR="00673BDF" w:rsidRDefault="00673BDF" w:rsidP="002E5F76">
      <w:pPr>
        <w:pStyle w:val="ListParagraph"/>
        <w:numPr>
          <w:ilvl w:val="0"/>
          <w:numId w:val="8"/>
        </w:numPr>
        <w:spacing w:after="120" w:line="240" w:lineRule="auto"/>
      </w:pPr>
      <w:r>
        <w:t>Monthly Safe Church meetings</w:t>
      </w:r>
      <w:r w:rsidR="00E872CD">
        <w:t xml:space="preserve"> (minimum 10 per year)</w:t>
      </w:r>
    </w:p>
    <w:p w:rsidR="00587DE8" w:rsidRPr="00D87086" w:rsidRDefault="00587DE8" w:rsidP="00D03E9B">
      <w:pPr>
        <w:spacing w:after="120" w:line="240" w:lineRule="auto"/>
        <w:rPr>
          <w:b/>
        </w:rPr>
      </w:pPr>
      <w:r w:rsidRPr="00D87086">
        <w:rPr>
          <w:b/>
        </w:rPr>
        <w:t>2. Congregational relations</w:t>
      </w:r>
    </w:p>
    <w:p w:rsidR="00673BDF" w:rsidRDefault="00673BDF" w:rsidP="002E5F76">
      <w:pPr>
        <w:pStyle w:val="ListParagraph"/>
        <w:numPr>
          <w:ilvl w:val="0"/>
          <w:numId w:val="9"/>
        </w:numPr>
        <w:spacing w:after="120" w:line="240" w:lineRule="auto"/>
      </w:pPr>
      <w:r>
        <w:t>Participation in Church services</w:t>
      </w:r>
      <w:r w:rsidR="00E872CD">
        <w:t xml:space="preserve"> (minimum 40 per year)</w:t>
      </w:r>
    </w:p>
    <w:p w:rsidR="00673BDF" w:rsidRDefault="00673BDF" w:rsidP="002E5F76">
      <w:pPr>
        <w:pStyle w:val="ListParagraph"/>
        <w:numPr>
          <w:ilvl w:val="0"/>
          <w:numId w:val="9"/>
        </w:numPr>
        <w:spacing w:after="120" w:line="240" w:lineRule="auto"/>
      </w:pPr>
      <w:r>
        <w:t>Presentations at congregational meetings</w:t>
      </w:r>
      <w:r w:rsidR="00E872CD">
        <w:t xml:space="preserve"> (whenever appropriate)</w:t>
      </w:r>
    </w:p>
    <w:p w:rsidR="00D87086" w:rsidRDefault="00D87086" w:rsidP="002E5F76">
      <w:pPr>
        <w:pStyle w:val="ListParagraph"/>
        <w:numPr>
          <w:ilvl w:val="0"/>
          <w:numId w:val="9"/>
        </w:numPr>
        <w:spacing w:after="120" w:line="240" w:lineRule="auto"/>
      </w:pPr>
      <w:r>
        <w:t>Media communications</w:t>
      </w:r>
      <w:r w:rsidR="00920D4C">
        <w:t xml:space="preserve"> with youth and congregation</w:t>
      </w:r>
      <w:r w:rsidR="00E872CD">
        <w:t xml:space="preserve"> (40 plus per year)</w:t>
      </w:r>
    </w:p>
    <w:p w:rsidR="00587DE8" w:rsidRPr="00AA0586" w:rsidRDefault="00587DE8" w:rsidP="00D03E9B">
      <w:pPr>
        <w:spacing w:after="120" w:line="240" w:lineRule="auto"/>
        <w:rPr>
          <w:b/>
        </w:rPr>
      </w:pPr>
      <w:r w:rsidRPr="00AA0586">
        <w:rPr>
          <w:b/>
        </w:rPr>
        <w:t xml:space="preserve">3. </w:t>
      </w:r>
      <w:r w:rsidR="009B7238">
        <w:rPr>
          <w:b/>
        </w:rPr>
        <w:t>DOYIM</w:t>
      </w:r>
      <w:r w:rsidR="00D87086" w:rsidRPr="00AA0586">
        <w:rPr>
          <w:b/>
        </w:rPr>
        <w:t xml:space="preserve"> Pastor</w:t>
      </w:r>
      <w:r w:rsidR="009B7238">
        <w:rPr>
          <w:b/>
        </w:rPr>
        <w:t>al</w:t>
      </w:r>
      <w:r w:rsidR="00D87086" w:rsidRPr="00AA0586">
        <w:rPr>
          <w:b/>
        </w:rPr>
        <w:t xml:space="preserve"> visits</w:t>
      </w:r>
    </w:p>
    <w:p w:rsidR="00673BDF" w:rsidRDefault="00673BDF" w:rsidP="002E5F76">
      <w:pPr>
        <w:pStyle w:val="ListParagraph"/>
        <w:numPr>
          <w:ilvl w:val="0"/>
          <w:numId w:val="10"/>
        </w:numPr>
        <w:spacing w:after="120" w:line="240" w:lineRule="auto"/>
      </w:pPr>
      <w:r>
        <w:t>Weekly meetings with individual youth</w:t>
      </w:r>
      <w:r w:rsidR="00587DE8">
        <w:t xml:space="preserve">, friends, </w:t>
      </w:r>
      <w:r w:rsidR="00920D4C">
        <w:t xml:space="preserve">those in </w:t>
      </w:r>
      <w:r w:rsidR="00587DE8">
        <w:t>relationship</w:t>
      </w:r>
      <w:r w:rsidR="00920D4C">
        <w:t>s</w:t>
      </w:r>
      <w:r w:rsidR="00E872CD">
        <w:t xml:space="preserve"> (3 per week)</w:t>
      </w:r>
    </w:p>
    <w:p w:rsidR="00673BDF" w:rsidRDefault="00673BDF" w:rsidP="002E5F76">
      <w:pPr>
        <w:pStyle w:val="ListParagraph"/>
        <w:numPr>
          <w:ilvl w:val="0"/>
          <w:numId w:val="10"/>
        </w:numPr>
        <w:spacing w:after="120" w:line="240" w:lineRule="auto"/>
      </w:pPr>
      <w:r>
        <w:t>Weekly meetings with parents, families, and other adults</w:t>
      </w:r>
      <w:r w:rsidR="00E872CD">
        <w:t xml:space="preserve"> (3 per week)</w:t>
      </w:r>
    </w:p>
    <w:p w:rsidR="00587DE8" w:rsidRPr="00AA0586" w:rsidRDefault="00587DE8" w:rsidP="00D03E9B">
      <w:pPr>
        <w:spacing w:after="120" w:line="240" w:lineRule="auto"/>
        <w:rPr>
          <w:b/>
        </w:rPr>
      </w:pPr>
      <w:r w:rsidRPr="00AA0586">
        <w:rPr>
          <w:b/>
        </w:rPr>
        <w:t>4.</w:t>
      </w:r>
      <w:r w:rsidR="00D87086" w:rsidRPr="00AA0586">
        <w:rPr>
          <w:b/>
        </w:rPr>
        <w:t xml:space="preserve"> Ministry events</w:t>
      </w:r>
    </w:p>
    <w:p w:rsidR="00D87086" w:rsidRDefault="00673BDF" w:rsidP="002E5F76">
      <w:pPr>
        <w:pStyle w:val="ListParagraph"/>
        <w:numPr>
          <w:ilvl w:val="0"/>
          <w:numId w:val="11"/>
        </w:numPr>
        <w:spacing w:after="120" w:line="240" w:lineRule="auto"/>
      </w:pPr>
      <w:r>
        <w:t>Special events, conferences, and other organized</w:t>
      </w:r>
      <w:r w:rsidR="0080751D">
        <w:t xml:space="preserve"> trips and</w:t>
      </w:r>
      <w:r>
        <w:t xml:space="preserve"> services involving </w:t>
      </w:r>
      <w:r w:rsidR="00D87086">
        <w:t>adult supervision and</w:t>
      </w:r>
      <w:r w:rsidR="00587DE8">
        <w:t xml:space="preserve"> consent</w:t>
      </w:r>
    </w:p>
    <w:p w:rsidR="00673BDF" w:rsidRDefault="00D87086" w:rsidP="002E5F76">
      <w:pPr>
        <w:pStyle w:val="ListParagraph"/>
        <w:numPr>
          <w:ilvl w:val="0"/>
          <w:numId w:val="11"/>
        </w:numPr>
        <w:spacing w:after="120" w:line="240" w:lineRule="auto"/>
      </w:pPr>
      <w:r>
        <w:t>Participation in and supervision of f</w:t>
      </w:r>
      <w:r w:rsidR="00673BDF">
        <w:t>ormal instruction classes</w:t>
      </w:r>
      <w:r>
        <w:t xml:space="preserve">, </w:t>
      </w:r>
      <w:r w:rsidR="00673BDF">
        <w:t>church events</w:t>
      </w:r>
      <w:r>
        <w:t>,</w:t>
      </w:r>
      <w:r w:rsidR="00587DE8">
        <w:t xml:space="preserve"> and </w:t>
      </w:r>
      <w:r>
        <w:t xml:space="preserve">church </w:t>
      </w:r>
      <w:r w:rsidR="00587DE8">
        <w:t>services</w:t>
      </w:r>
      <w:r w:rsidR="00E872CD">
        <w:t xml:space="preserve"> </w:t>
      </w:r>
    </w:p>
    <w:p w:rsidR="00920D4C" w:rsidRDefault="00920D4C" w:rsidP="002E5F76">
      <w:pPr>
        <w:pStyle w:val="ListParagraph"/>
        <w:numPr>
          <w:ilvl w:val="0"/>
          <w:numId w:val="11"/>
        </w:numPr>
        <w:spacing w:after="120" w:line="240" w:lineRule="auto"/>
      </w:pPr>
      <w:r>
        <w:t>Services provided to other Church agencies and organizations, including other ministries</w:t>
      </w:r>
    </w:p>
    <w:p w:rsidR="0056024C" w:rsidRDefault="0056024C" w:rsidP="00D03E9B">
      <w:pPr>
        <w:spacing w:after="120" w:line="240" w:lineRule="auto"/>
      </w:pPr>
    </w:p>
    <w:p w:rsidR="00AA0586" w:rsidRPr="0056024C" w:rsidRDefault="0056024C" w:rsidP="00D03E9B">
      <w:pPr>
        <w:spacing w:after="120" w:line="240" w:lineRule="auto"/>
        <w:rPr>
          <w:b/>
          <w:i/>
        </w:rPr>
      </w:pPr>
      <w:r w:rsidRPr="0056024C">
        <w:rPr>
          <w:b/>
          <w:i/>
        </w:rPr>
        <w:t xml:space="preserve">The </w:t>
      </w:r>
      <w:r w:rsidR="002E5F76">
        <w:rPr>
          <w:b/>
          <w:i/>
        </w:rPr>
        <w:t>2</w:t>
      </w:r>
      <w:r w:rsidRPr="0056024C">
        <w:rPr>
          <w:b/>
          <w:i/>
        </w:rPr>
        <w:t xml:space="preserve"> headings below are intended to be completed on a</w:t>
      </w:r>
      <w:r>
        <w:rPr>
          <w:b/>
          <w:i/>
        </w:rPr>
        <w:t>n</w:t>
      </w:r>
      <w:r w:rsidRPr="0056024C">
        <w:rPr>
          <w:b/>
          <w:i/>
        </w:rPr>
        <w:t xml:space="preserve"> annual basis</w:t>
      </w:r>
    </w:p>
    <w:p w:rsidR="00D87086" w:rsidRPr="00AA0586" w:rsidRDefault="00D87086" w:rsidP="00D03E9B">
      <w:pPr>
        <w:spacing w:after="120" w:line="240" w:lineRule="auto"/>
        <w:rPr>
          <w:b/>
        </w:rPr>
      </w:pPr>
      <w:r w:rsidRPr="00AA0586">
        <w:rPr>
          <w:b/>
        </w:rPr>
        <w:t xml:space="preserve">5. </w:t>
      </w:r>
      <w:r w:rsidR="00444DDE">
        <w:rPr>
          <w:b/>
        </w:rPr>
        <w:t>Professional D</w:t>
      </w:r>
      <w:r w:rsidR="008B0A7F">
        <w:rPr>
          <w:b/>
        </w:rPr>
        <w:t>evelopment</w:t>
      </w:r>
      <w:r w:rsidRPr="00AA0586">
        <w:rPr>
          <w:b/>
        </w:rPr>
        <w:t xml:space="preserve"> </w:t>
      </w:r>
    </w:p>
    <w:p w:rsidR="00673BDF" w:rsidRDefault="00673BDF" w:rsidP="002E5F76">
      <w:pPr>
        <w:pStyle w:val="ListParagraph"/>
        <w:numPr>
          <w:ilvl w:val="0"/>
          <w:numId w:val="12"/>
        </w:numPr>
        <w:spacing w:after="120" w:line="240" w:lineRule="auto"/>
      </w:pPr>
      <w:r>
        <w:t>Detailed summary of long-term planning</w:t>
      </w:r>
      <w:r w:rsidR="00D87086">
        <w:t xml:space="preserve"> </w:t>
      </w:r>
      <w:r w:rsidR="0080751D">
        <w:t>by</w:t>
      </w:r>
      <w:r w:rsidR="00D87086">
        <w:t xml:space="preserve"> </w:t>
      </w:r>
      <w:r w:rsidR="008B0A7F">
        <w:t xml:space="preserve">the </w:t>
      </w:r>
      <w:r w:rsidR="00E872CD">
        <w:t>DOYIM (reflected in achievements and challenges below)</w:t>
      </w:r>
    </w:p>
    <w:p w:rsidR="00E872CD" w:rsidRDefault="008B0A7F" w:rsidP="002E5F76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Educational courses and workshops (including travel) attended by the </w:t>
      </w:r>
      <w:r w:rsidR="009B7238">
        <w:t>DOYIM</w:t>
      </w:r>
      <w:r w:rsidR="00E872CD">
        <w:t xml:space="preserve"> </w:t>
      </w:r>
    </w:p>
    <w:p w:rsidR="00D87086" w:rsidRPr="00AA0586" w:rsidRDefault="00444DDE" w:rsidP="00D03E9B">
      <w:pPr>
        <w:spacing w:after="120" w:line="240" w:lineRule="auto"/>
        <w:rPr>
          <w:b/>
        </w:rPr>
      </w:pPr>
      <w:r>
        <w:rPr>
          <w:b/>
        </w:rPr>
        <w:t>6</w:t>
      </w:r>
      <w:r w:rsidR="00AA0586" w:rsidRPr="00AA0586">
        <w:rPr>
          <w:b/>
        </w:rPr>
        <w:t xml:space="preserve">. </w:t>
      </w:r>
      <w:r>
        <w:rPr>
          <w:b/>
        </w:rPr>
        <w:t>Annual Performance Evaluation</w:t>
      </w:r>
      <w:r w:rsidR="00D87086" w:rsidRPr="00AA0586">
        <w:rPr>
          <w:b/>
        </w:rPr>
        <w:t xml:space="preserve"> </w:t>
      </w:r>
    </w:p>
    <w:p w:rsidR="00AA0586" w:rsidRDefault="00AA0586" w:rsidP="002E5F76">
      <w:pPr>
        <w:pStyle w:val="ListParagraph"/>
        <w:numPr>
          <w:ilvl w:val="0"/>
          <w:numId w:val="13"/>
        </w:numPr>
        <w:spacing w:after="120" w:line="240" w:lineRule="auto"/>
      </w:pPr>
      <w:r>
        <w:t>Notable achievements</w:t>
      </w:r>
      <w:r w:rsidR="00E872CD">
        <w:t xml:space="preserve"> (e.g., reported at council, church services and congregational meetings)</w:t>
      </w:r>
    </w:p>
    <w:p w:rsidR="00E872CD" w:rsidRDefault="00AA0586" w:rsidP="002E5F76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Notable challenges including unfinished tasks </w:t>
      </w:r>
      <w:r w:rsidR="00E872CD">
        <w:t>(reported at council and congregational meetings)</w:t>
      </w:r>
    </w:p>
    <w:p w:rsidR="00EA3EB7" w:rsidRDefault="00EA3EB7" w:rsidP="00D03E9B">
      <w:pPr>
        <w:spacing w:after="120" w:line="240" w:lineRule="auto"/>
      </w:pPr>
    </w:p>
    <w:p w:rsidR="0056024C" w:rsidRDefault="0056024C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br w:type="page"/>
      </w:r>
    </w:p>
    <w:p w:rsidR="00EA3EB7" w:rsidRPr="00380B4B" w:rsidRDefault="00EA3EB7" w:rsidP="00EA3EB7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380B4B">
        <w:rPr>
          <w:rFonts w:eastAsia="Times New Roman" w:cs="Times New Roman"/>
          <w:b/>
          <w:szCs w:val="24"/>
          <w:u w:val="single"/>
        </w:rPr>
        <w:t>K</w:t>
      </w:r>
      <w:r>
        <w:rPr>
          <w:rFonts w:eastAsia="Times New Roman" w:cs="Times New Roman"/>
          <w:b/>
          <w:szCs w:val="24"/>
          <w:u w:val="single"/>
        </w:rPr>
        <w:t xml:space="preserve">ey </w:t>
      </w:r>
      <w:r w:rsidRPr="00380B4B">
        <w:rPr>
          <w:rFonts w:eastAsia="Times New Roman" w:cs="Times New Roman"/>
          <w:b/>
          <w:szCs w:val="24"/>
          <w:u w:val="single"/>
        </w:rPr>
        <w:t>P</w:t>
      </w:r>
      <w:r>
        <w:rPr>
          <w:rFonts w:eastAsia="Times New Roman" w:cs="Times New Roman"/>
          <w:b/>
          <w:szCs w:val="24"/>
          <w:u w:val="single"/>
        </w:rPr>
        <w:t xml:space="preserve">erformance </w:t>
      </w:r>
      <w:r w:rsidRPr="00380B4B">
        <w:rPr>
          <w:rFonts w:eastAsia="Times New Roman" w:cs="Times New Roman"/>
          <w:b/>
          <w:szCs w:val="24"/>
          <w:u w:val="single"/>
        </w:rPr>
        <w:t>I</w:t>
      </w:r>
      <w:r>
        <w:rPr>
          <w:rFonts w:eastAsia="Times New Roman" w:cs="Times New Roman"/>
          <w:b/>
          <w:szCs w:val="24"/>
          <w:u w:val="single"/>
        </w:rPr>
        <w:t>ndicators (2015)</w:t>
      </w:r>
    </w:p>
    <w:p w:rsidR="00EA3EB7" w:rsidRPr="00380B4B" w:rsidRDefault="00EA3EB7" w:rsidP="00EA3EB7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3106"/>
        <w:gridCol w:w="967"/>
        <w:gridCol w:w="860"/>
        <w:gridCol w:w="787"/>
        <w:gridCol w:w="787"/>
        <w:gridCol w:w="787"/>
        <w:gridCol w:w="1001"/>
      </w:tblGrid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Number</w:t>
            </w:r>
          </w:p>
        </w:tc>
        <w:tc>
          <w:tcPr>
            <w:tcW w:w="3106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Description</w:t>
            </w:r>
          </w:p>
        </w:tc>
        <w:tc>
          <w:tcPr>
            <w:tcW w:w="967" w:type="dxa"/>
          </w:tcPr>
          <w:p w:rsidR="00EA3EB7" w:rsidRPr="0056024C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Target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Q1</w:t>
            </w: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Q2</w:t>
            </w: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Q3</w:t>
            </w: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Q4</w:t>
            </w: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b/>
                <w:szCs w:val="24"/>
                <w:lang w:val="en-US"/>
              </w:rPr>
              <w:t>Annual</w:t>
            </w:r>
          </w:p>
        </w:tc>
      </w:tr>
      <w:tr w:rsidR="008E1186" w:rsidRPr="00380B4B" w:rsidTr="002E5F76">
        <w:tc>
          <w:tcPr>
            <w:tcW w:w="4161" w:type="dxa"/>
            <w:gridSpan w:val="2"/>
          </w:tcPr>
          <w:p w:rsidR="008E1186" w:rsidRDefault="008E1186" w:rsidP="008E11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Regular Scheduled Meetings</w:t>
            </w:r>
          </w:p>
        </w:tc>
        <w:tc>
          <w:tcPr>
            <w:tcW w:w="967" w:type="dxa"/>
          </w:tcPr>
          <w:p w:rsidR="008E1186" w:rsidRPr="0056024C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60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106" w:type="dxa"/>
          </w:tcPr>
          <w:p w:rsidR="00EA3EB7" w:rsidRPr="00380B4B" w:rsidRDefault="008E1186" w:rsidP="00EA3EB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Weekly Staff meetings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36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IMAC Meetings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C691C" w:rsidRPr="00380B4B" w:rsidTr="002E5F76">
        <w:tc>
          <w:tcPr>
            <w:tcW w:w="1055" w:type="dxa"/>
          </w:tcPr>
          <w:p w:rsidR="00EC691C" w:rsidRPr="00380B4B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106" w:type="dxa"/>
          </w:tcPr>
          <w:p w:rsidR="00EC691C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SALT Meetings</w:t>
            </w:r>
          </w:p>
        </w:tc>
        <w:tc>
          <w:tcPr>
            <w:tcW w:w="967" w:type="dxa"/>
          </w:tcPr>
          <w:p w:rsidR="00EC691C" w:rsidRPr="0056024C" w:rsidRDefault="00EC691C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860" w:type="dxa"/>
          </w:tcPr>
          <w:p w:rsidR="00EC691C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EC691C" w:rsidRPr="00380B4B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EC691C" w:rsidRPr="00380B4B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EC691C" w:rsidRPr="00380B4B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EC691C" w:rsidRPr="00380B4B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CRC Meetings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Safe Church Meetings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E1186" w:rsidRPr="00380B4B" w:rsidTr="002E5F76">
        <w:tc>
          <w:tcPr>
            <w:tcW w:w="4161" w:type="dxa"/>
            <w:gridSpan w:val="2"/>
          </w:tcPr>
          <w:p w:rsidR="008E1186" w:rsidRPr="008E1186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E1186">
              <w:rPr>
                <w:rFonts w:eastAsia="Times New Roman" w:cs="Times New Roman"/>
                <w:b/>
                <w:szCs w:val="24"/>
              </w:rPr>
              <w:t>Congregational Relations</w:t>
            </w:r>
          </w:p>
        </w:tc>
        <w:tc>
          <w:tcPr>
            <w:tcW w:w="967" w:type="dxa"/>
          </w:tcPr>
          <w:p w:rsidR="008E1186" w:rsidRPr="0056024C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60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Participation in Worship Services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Attendance at Congregational Meetings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Media Communications with youth/young adults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E1186" w:rsidRPr="00380B4B" w:rsidTr="002E5F76">
        <w:tc>
          <w:tcPr>
            <w:tcW w:w="4161" w:type="dxa"/>
            <w:gridSpan w:val="2"/>
          </w:tcPr>
          <w:p w:rsidR="008E1186" w:rsidRPr="008E1186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Pastoral Visits</w:t>
            </w:r>
          </w:p>
        </w:tc>
        <w:tc>
          <w:tcPr>
            <w:tcW w:w="967" w:type="dxa"/>
          </w:tcPr>
          <w:p w:rsidR="008E1186" w:rsidRPr="0056024C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60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Youth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120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Young Adults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30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szCs w:val="24"/>
                <w:lang w:val="en-US"/>
              </w:rPr>
              <w:t>1</w:t>
            </w:r>
            <w:r w:rsidR="00EC691C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Parents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30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szCs w:val="24"/>
                <w:lang w:val="en-US"/>
              </w:rPr>
              <w:t>1</w:t>
            </w:r>
            <w:r w:rsidR="00EC691C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Other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30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E1186" w:rsidRPr="00380B4B" w:rsidTr="002E5F76">
        <w:tc>
          <w:tcPr>
            <w:tcW w:w="4161" w:type="dxa"/>
            <w:gridSpan w:val="2"/>
          </w:tcPr>
          <w:p w:rsidR="008E1186" w:rsidRPr="008E1186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Special Events</w:t>
            </w:r>
          </w:p>
        </w:tc>
        <w:tc>
          <w:tcPr>
            <w:tcW w:w="967" w:type="dxa"/>
          </w:tcPr>
          <w:p w:rsidR="008E1186" w:rsidRPr="0056024C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60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87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1" w:type="dxa"/>
          </w:tcPr>
          <w:p w:rsidR="008E1186" w:rsidRPr="00380B4B" w:rsidRDefault="008E118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80B4B">
              <w:rPr>
                <w:rFonts w:eastAsia="Times New Roman" w:cs="Times New Roman"/>
                <w:szCs w:val="24"/>
                <w:lang w:val="en-US"/>
              </w:rPr>
              <w:t>1</w:t>
            </w:r>
            <w:r w:rsidR="00EC691C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Church Programing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Education/Instruction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2E5F76" w:rsidRPr="00380B4B" w:rsidTr="002E5F76">
        <w:tc>
          <w:tcPr>
            <w:tcW w:w="1055" w:type="dxa"/>
          </w:tcPr>
          <w:p w:rsidR="00EA3EB7" w:rsidRPr="00380B4B" w:rsidRDefault="00EC691C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3106" w:type="dxa"/>
          </w:tcPr>
          <w:p w:rsidR="00EA3EB7" w:rsidRPr="00380B4B" w:rsidRDefault="008E1186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Service provided to related organizations</w:t>
            </w:r>
          </w:p>
        </w:tc>
        <w:tc>
          <w:tcPr>
            <w:tcW w:w="967" w:type="dxa"/>
          </w:tcPr>
          <w:p w:rsidR="00EA3EB7" w:rsidRPr="0056024C" w:rsidRDefault="00D03E9B" w:rsidP="007D048B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56024C">
              <w:rPr>
                <w:rFonts w:eastAsia="Times New Roman" w:cs="Times New Roman"/>
                <w:b/>
                <w:szCs w:val="24"/>
                <w:lang w:val="en-US"/>
              </w:rPr>
              <w:t>?</w:t>
            </w:r>
          </w:p>
        </w:tc>
        <w:tc>
          <w:tcPr>
            <w:tcW w:w="860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EA3EB7" w:rsidRPr="00380B4B" w:rsidRDefault="00EA3EB7" w:rsidP="007D048B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E1186" w:rsidRPr="00380B4B" w:rsidTr="002E5F76">
        <w:tc>
          <w:tcPr>
            <w:tcW w:w="9350" w:type="dxa"/>
            <w:gridSpan w:val="8"/>
          </w:tcPr>
          <w:p w:rsidR="008E1186" w:rsidRPr="008E1186" w:rsidRDefault="008E118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ANNUAL REPORT</w:t>
            </w:r>
          </w:p>
        </w:tc>
      </w:tr>
      <w:tr w:rsidR="0056024C" w:rsidRPr="00380B4B" w:rsidTr="002E5F76">
        <w:trPr>
          <w:gridAfter w:val="4"/>
          <w:wAfter w:w="3362" w:type="dxa"/>
        </w:trPr>
        <w:tc>
          <w:tcPr>
            <w:tcW w:w="4161" w:type="dxa"/>
            <w:gridSpan w:val="2"/>
          </w:tcPr>
          <w:p w:rsidR="0056024C" w:rsidRPr="00D03E9B" w:rsidRDefault="0056024C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3E9B">
              <w:rPr>
                <w:rFonts w:eastAsia="Times New Roman" w:cs="Times New Roman"/>
                <w:b/>
                <w:szCs w:val="24"/>
              </w:rPr>
              <w:t>Professional Development</w:t>
            </w:r>
          </w:p>
        </w:tc>
        <w:tc>
          <w:tcPr>
            <w:tcW w:w="967" w:type="dxa"/>
          </w:tcPr>
          <w:p w:rsidR="0056024C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56024C" w:rsidRPr="0056024C" w:rsidRDefault="0056024C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6024C">
              <w:rPr>
                <w:rFonts w:eastAsia="Times New Roman" w:cs="Times New Roman"/>
                <w:b/>
                <w:szCs w:val="24"/>
              </w:rPr>
              <w:t>Yes/no</w:t>
            </w:r>
          </w:p>
        </w:tc>
      </w:tr>
      <w:tr w:rsidR="0056024C" w:rsidRPr="00380B4B" w:rsidTr="002E5F76">
        <w:trPr>
          <w:gridAfter w:val="4"/>
          <w:wAfter w:w="3362" w:type="dxa"/>
        </w:trPr>
        <w:tc>
          <w:tcPr>
            <w:tcW w:w="1055" w:type="dxa"/>
          </w:tcPr>
          <w:p w:rsidR="0056024C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3106" w:type="dxa"/>
          </w:tcPr>
          <w:p w:rsidR="0056024C" w:rsidRPr="00380B4B" w:rsidRDefault="00444DDE" w:rsidP="00444DD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Long-term</w:t>
            </w:r>
            <w:r w:rsidR="0056024C">
              <w:rPr>
                <w:rFonts w:eastAsia="Times New Roman" w:cs="Times New Roman"/>
                <w:szCs w:val="24"/>
              </w:rPr>
              <w:t xml:space="preserve"> Professional </w:t>
            </w:r>
            <w:r>
              <w:rPr>
                <w:rFonts w:eastAsia="Times New Roman" w:cs="Times New Roman"/>
                <w:szCs w:val="24"/>
              </w:rPr>
              <w:t xml:space="preserve">Development </w:t>
            </w:r>
            <w:r w:rsidR="0056024C">
              <w:rPr>
                <w:rFonts w:eastAsia="Times New Roman" w:cs="Times New Roman"/>
                <w:szCs w:val="24"/>
              </w:rPr>
              <w:t xml:space="preserve">Plan </w:t>
            </w:r>
          </w:p>
        </w:tc>
        <w:tc>
          <w:tcPr>
            <w:tcW w:w="967" w:type="dxa"/>
          </w:tcPr>
          <w:p w:rsidR="0056024C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60" w:type="dxa"/>
          </w:tcPr>
          <w:p w:rsidR="0056024C" w:rsidRPr="00380B4B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6024C" w:rsidRPr="00380B4B" w:rsidTr="002E5F76">
        <w:trPr>
          <w:gridAfter w:val="4"/>
          <w:wAfter w:w="3362" w:type="dxa"/>
        </w:trPr>
        <w:tc>
          <w:tcPr>
            <w:tcW w:w="1055" w:type="dxa"/>
          </w:tcPr>
          <w:p w:rsidR="0056024C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3106" w:type="dxa"/>
          </w:tcPr>
          <w:p w:rsidR="0056024C" w:rsidRPr="00380B4B" w:rsidRDefault="00444DDE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Courses &amp; Workshops</w:t>
            </w:r>
          </w:p>
        </w:tc>
        <w:tc>
          <w:tcPr>
            <w:tcW w:w="967" w:type="dxa"/>
          </w:tcPr>
          <w:p w:rsidR="0056024C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60" w:type="dxa"/>
          </w:tcPr>
          <w:p w:rsidR="0056024C" w:rsidRPr="00380B4B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5F76" w:rsidRPr="00380B4B" w:rsidTr="002E5F76">
        <w:trPr>
          <w:gridAfter w:val="4"/>
          <w:wAfter w:w="3362" w:type="dxa"/>
        </w:trPr>
        <w:tc>
          <w:tcPr>
            <w:tcW w:w="4161" w:type="dxa"/>
            <w:gridSpan w:val="2"/>
          </w:tcPr>
          <w:p w:rsidR="002E5F76" w:rsidRPr="002E5F76" w:rsidRDefault="002E5F76" w:rsidP="007D04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E5F76">
              <w:rPr>
                <w:rFonts w:eastAsia="Times New Roman" w:cs="Times New Roman"/>
                <w:b/>
                <w:szCs w:val="24"/>
              </w:rPr>
              <w:t>Annual Performance Evaluation</w:t>
            </w:r>
          </w:p>
        </w:tc>
        <w:tc>
          <w:tcPr>
            <w:tcW w:w="967" w:type="dxa"/>
          </w:tcPr>
          <w:p w:rsidR="002E5F76" w:rsidRDefault="002E5F7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2E5F76" w:rsidRPr="00380B4B" w:rsidRDefault="002E5F76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6024C" w:rsidRPr="00380B4B" w:rsidTr="002E5F76">
        <w:trPr>
          <w:gridAfter w:val="4"/>
          <w:wAfter w:w="3362" w:type="dxa"/>
        </w:trPr>
        <w:tc>
          <w:tcPr>
            <w:tcW w:w="1055" w:type="dxa"/>
          </w:tcPr>
          <w:p w:rsidR="0056024C" w:rsidRDefault="00EC691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3106" w:type="dxa"/>
          </w:tcPr>
          <w:p w:rsidR="0056024C" w:rsidRPr="00380B4B" w:rsidRDefault="002E5F76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Notable achievements &amp; challenges</w:t>
            </w:r>
          </w:p>
        </w:tc>
        <w:tc>
          <w:tcPr>
            <w:tcW w:w="967" w:type="dxa"/>
          </w:tcPr>
          <w:p w:rsidR="0056024C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60" w:type="dxa"/>
          </w:tcPr>
          <w:p w:rsidR="0056024C" w:rsidRPr="00380B4B" w:rsidRDefault="0056024C" w:rsidP="007D04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EA3EB7" w:rsidRPr="00380B4B" w:rsidRDefault="00EA3EB7" w:rsidP="00EA3EB7">
      <w:pPr>
        <w:spacing w:after="0" w:line="240" w:lineRule="auto"/>
        <w:rPr>
          <w:rFonts w:eastAsia="Times New Roman" w:cs="Times New Roman"/>
          <w:szCs w:val="24"/>
        </w:rPr>
      </w:pPr>
    </w:p>
    <w:p w:rsidR="00EA3EB7" w:rsidRDefault="00EA3EB7"/>
    <w:sectPr w:rsidR="00EA3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97" w:rsidRDefault="00BD7E97" w:rsidP="006C6E35">
      <w:pPr>
        <w:spacing w:after="0" w:line="240" w:lineRule="auto"/>
      </w:pPr>
      <w:r>
        <w:separator/>
      </w:r>
    </w:p>
  </w:endnote>
  <w:endnote w:type="continuationSeparator" w:id="0">
    <w:p w:rsidR="00BD7E97" w:rsidRDefault="00BD7E97" w:rsidP="006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97" w:rsidRDefault="00BD7E97" w:rsidP="006C6E35">
      <w:pPr>
        <w:spacing w:after="0" w:line="240" w:lineRule="auto"/>
      </w:pPr>
      <w:r>
        <w:separator/>
      </w:r>
    </w:p>
  </w:footnote>
  <w:footnote w:type="continuationSeparator" w:id="0">
    <w:p w:rsidR="00BD7E97" w:rsidRDefault="00BD7E97" w:rsidP="006C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7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E35" w:rsidRDefault="006C6E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35" w:rsidRDefault="006C6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51"/>
    <w:multiLevelType w:val="hybridMultilevel"/>
    <w:tmpl w:val="C86C73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82BC4"/>
    <w:multiLevelType w:val="hybridMultilevel"/>
    <w:tmpl w:val="88128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5259"/>
    <w:multiLevelType w:val="hybridMultilevel"/>
    <w:tmpl w:val="24AE9868"/>
    <w:lvl w:ilvl="0" w:tplc="D7603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C6D9F"/>
    <w:multiLevelType w:val="hybridMultilevel"/>
    <w:tmpl w:val="6890D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3EF5"/>
    <w:multiLevelType w:val="hybridMultilevel"/>
    <w:tmpl w:val="1D9680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AF4649"/>
    <w:multiLevelType w:val="hybridMultilevel"/>
    <w:tmpl w:val="23CC9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5BDD"/>
    <w:multiLevelType w:val="hybridMultilevel"/>
    <w:tmpl w:val="C32AB044"/>
    <w:lvl w:ilvl="0" w:tplc="7702E81A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389C"/>
    <w:multiLevelType w:val="hybridMultilevel"/>
    <w:tmpl w:val="0A1ACF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B51B9A"/>
    <w:multiLevelType w:val="hybridMultilevel"/>
    <w:tmpl w:val="12A6F0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75F6B"/>
    <w:multiLevelType w:val="hybridMultilevel"/>
    <w:tmpl w:val="634A8652"/>
    <w:lvl w:ilvl="0" w:tplc="D264081C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9353A"/>
    <w:multiLevelType w:val="hybridMultilevel"/>
    <w:tmpl w:val="764CBB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185127"/>
    <w:multiLevelType w:val="hybridMultilevel"/>
    <w:tmpl w:val="F1EEC6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C136B5"/>
    <w:multiLevelType w:val="hybridMultilevel"/>
    <w:tmpl w:val="D43C95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8"/>
    <w:rsid w:val="00012305"/>
    <w:rsid w:val="00012443"/>
    <w:rsid w:val="000233B6"/>
    <w:rsid w:val="000B483D"/>
    <w:rsid w:val="001833DD"/>
    <w:rsid w:val="001B7A84"/>
    <w:rsid w:val="001C5327"/>
    <w:rsid w:val="001C5AE3"/>
    <w:rsid w:val="001D431C"/>
    <w:rsid w:val="00223211"/>
    <w:rsid w:val="002318CE"/>
    <w:rsid w:val="0025248B"/>
    <w:rsid w:val="0026017B"/>
    <w:rsid w:val="002A06C3"/>
    <w:rsid w:val="002D5B31"/>
    <w:rsid w:val="002E0700"/>
    <w:rsid w:val="002E1733"/>
    <w:rsid w:val="002E3BAD"/>
    <w:rsid w:val="002E5F76"/>
    <w:rsid w:val="00356138"/>
    <w:rsid w:val="003722C8"/>
    <w:rsid w:val="003C20F2"/>
    <w:rsid w:val="003F2457"/>
    <w:rsid w:val="00444DDE"/>
    <w:rsid w:val="00445370"/>
    <w:rsid w:val="004877C9"/>
    <w:rsid w:val="0051781E"/>
    <w:rsid w:val="005410EF"/>
    <w:rsid w:val="005438E9"/>
    <w:rsid w:val="00554137"/>
    <w:rsid w:val="00554733"/>
    <w:rsid w:val="0056024C"/>
    <w:rsid w:val="005603AB"/>
    <w:rsid w:val="0058776A"/>
    <w:rsid w:val="00587DE8"/>
    <w:rsid w:val="005A5C7A"/>
    <w:rsid w:val="005E4797"/>
    <w:rsid w:val="006028B6"/>
    <w:rsid w:val="006463B9"/>
    <w:rsid w:val="0065305F"/>
    <w:rsid w:val="00673BDF"/>
    <w:rsid w:val="006750B6"/>
    <w:rsid w:val="006A7ACB"/>
    <w:rsid w:val="006C6744"/>
    <w:rsid w:val="006C6E35"/>
    <w:rsid w:val="006F5BA5"/>
    <w:rsid w:val="0071660F"/>
    <w:rsid w:val="00732937"/>
    <w:rsid w:val="00746041"/>
    <w:rsid w:val="007B1F75"/>
    <w:rsid w:val="007E0EDF"/>
    <w:rsid w:val="007F6F96"/>
    <w:rsid w:val="0080751D"/>
    <w:rsid w:val="00897829"/>
    <w:rsid w:val="008B0A7F"/>
    <w:rsid w:val="008E1186"/>
    <w:rsid w:val="00920D4C"/>
    <w:rsid w:val="00932991"/>
    <w:rsid w:val="00941BED"/>
    <w:rsid w:val="009B7238"/>
    <w:rsid w:val="009C7DB4"/>
    <w:rsid w:val="009E3909"/>
    <w:rsid w:val="009F6070"/>
    <w:rsid w:val="00AA0586"/>
    <w:rsid w:val="00AE2A9A"/>
    <w:rsid w:val="00AF09EF"/>
    <w:rsid w:val="00AF0C25"/>
    <w:rsid w:val="00B21171"/>
    <w:rsid w:val="00B6483D"/>
    <w:rsid w:val="00B72B23"/>
    <w:rsid w:val="00BC125F"/>
    <w:rsid w:val="00BD7E97"/>
    <w:rsid w:val="00BE3018"/>
    <w:rsid w:val="00C05210"/>
    <w:rsid w:val="00C320DC"/>
    <w:rsid w:val="00C9225C"/>
    <w:rsid w:val="00C93C62"/>
    <w:rsid w:val="00C96DB0"/>
    <w:rsid w:val="00D03E9B"/>
    <w:rsid w:val="00D2640E"/>
    <w:rsid w:val="00D64088"/>
    <w:rsid w:val="00D703BC"/>
    <w:rsid w:val="00D70DD1"/>
    <w:rsid w:val="00D87086"/>
    <w:rsid w:val="00DC0E7B"/>
    <w:rsid w:val="00DC4333"/>
    <w:rsid w:val="00E634E4"/>
    <w:rsid w:val="00E872CD"/>
    <w:rsid w:val="00EA3EB7"/>
    <w:rsid w:val="00EC691C"/>
    <w:rsid w:val="00ED08FE"/>
    <w:rsid w:val="00F17A01"/>
    <w:rsid w:val="00F2095E"/>
    <w:rsid w:val="00F56F96"/>
    <w:rsid w:val="00F602EE"/>
    <w:rsid w:val="00F673C1"/>
    <w:rsid w:val="00FB41C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AC6DF0-4E0F-4584-BCDB-58FCF3D2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35"/>
  </w:style>
  <w:style w:type="paragraph" w:styleId="Footer">
    <w:name w:val="footer"/>
    <w:basedOn w:val="Normal"/>
    <w:link w:val="FooterChar"/>
    <w:uiPriority w:val="99"/>
    <w:unhideWhenUsed/>
    <w:rsid w:val="006C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35"/>
  </w:style>
  <w:style w:type="paragraph" w:styleId="BalloonText">
    <w:name w:val="Balloon Text"/>
    <w:basedOn w:val="Normal"/>
    <w:link w:val="BalloonTextChar"/>
    <w:uiPriority w:val="99"/>
    <w:semiHidden/>
    <w:unhideWhenUsed/>
    <w:rsid w:val="00B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3EB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User-1189</dc:creator>
  <cp:lastModifiedBy>John</cp:lastModifiedBy>
  <cp:revision>6</cp:revision>
  <cp:lastPrinted>2014-11-19T02:33:00Z</cp:lastPrinted>
  <dcterms:created xsi:type="dcterms:W3CDTF">2015-04-14T17:14:00Z</dcterms:created>
  <dcterms:modified xsi:type="dcterms:W3CDTF">2015-04-30T16:56:00Z</dcterms:modified>
</cp:coreProperties>
</file>